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APMAG — Durchführung von Ermittlungen</w:t>
      </w:r>
    </w:p>
    <w:p>
      <w:r>
        <w:rPr>
          <w:color w:val="555555"/>
          <w:sz w:val="18"/>
        </w:rPr>
        <w:t xml:space="preserve">Ausführungsgesetz zum Verbotsübereinkommen für Antipersonenminen</w:t>
      </w:r>
    </w:p>
    <w:p>
      <w:r>
        <w:rPr>
          <w:color w:val="555555"/>
          <w:sz w:val="18"/>
        </w:rPr>
        <w:t xml:space="preserve">Stand: 10.04.2026 (konsolidierte Textfassung, kein amtliches Inkrafttretensdatum)</w:t>
      </w:r>
    </w:p>
    <w:p>
      <w:r>
        <w:t xml:space="preserve">Die Bundesregierung kann durch Rechtsverordnung mit Zustimmung des Bundesrates Einzelheiten der Befugnisse und Mitwirkungspflichten nach den §§ 3 und 4 sowie des Verwaltungsverfahrens zur Durchführung der in § 3 genannten Ermittlungen regeln.</w:t>
      </w:r>
    </w:p>
    <w:p>
      <w:r>
        <w:rPr>
          <w:color w:val="555555"/>
          <w:sz w:val="17"/>
        </w:rPr>
        <w:t xml:space="preserve">Zitiervorschlag: § 5 APMAG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https://recht.nulegal.eu/gesetze/APMAG/5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