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APG NRW (Nordrhein-Westfalen) — Gesonderte Berechnung nicht geförderter Aufwendungen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Pflegeeinrichtungen können pflegebedürftigen Menschen die durch öffentliche Förderung nicht gedeckten Aufwendungen im Sinne des § 10 Absatz 1 gesondert berechnen. Die gesonderte Berechnung bedarf der Zustimmung des überörtlichen Trägers der Sozialhilfe. Dies gilt nicht für Einrichtungen, die nach den Regelungen dieses Gesetzes oder der auf Grundlage dieses Gesetzes erlassenen Verordnung von der Förderung nach diesem Gesetz ausgeschlossen sind.</w:t>
      </w:r>
    </w:p>
    <w:p>
      <w:r>
        <w:t xml:space="preserve">Teil 3</w:t>
      </w:r>
    </w:p>
    <w:p>
      <w:r>
        <w:t xml:space="preserve">Weitere Angebote</w:t>
      </w:r>
    </w:p>
    <w:p>
      <w:r>
        <w:rPr>
          <w:color w:val="555555"/>
          <w:sz w:val="17"/>
        </w:rPr>
        <w:t xml:space="preserve">Zitiervorschlag: § 15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