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APG NRW (Nordrhein-Westfalen) — Ermittlung der anerkennungsfähigen Aufwendungen stationärer Pflegeeinrichtungen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Grundlage der Finanzierung von stationären Pflegeeinrichtungen nach §§ 9, 82 Absatz 3 des Elften Buches Sozialgesetzbuch ist die Ermittlung der betriebsnotwendigen Aufwendungen im Sinne des § 82 Absatz 2 Nummer 1 und Nummer 3 des Elften Buches Sozialgesetzbuch (förderungsfähige Aufwendungen) durch den zuständigen überörtlichen Träger der Sozialhilfe.</w:t>
      </w:r>
    </w:p>
    <w:p>
      <w:r>
        <w:t xml:space="preserve">(2) Anerkennungsfähig sind dabei Aufwendungen, die für bereits durchgeführte Maßnahmen angefallen sind oder für sicher im Veranlagungszeitraum durchzuführende Maßnahmen anfallen werden und betriebsnotwendig sind. Sofern hierfür eine öffentliche Förderung gewährt wurde oder wird, ist diese mindernd zu berücksichtigen.</w:t>
      </w:r>
    </w:p>
    <w:p>
      <w:r>
        <w:t xml:space="preserve">(3) Aufwendungen gelten als betriebsnotwendig, wenn sie</w:t>
      </w:r>
    </w:p>
    <w:p>
      <w:r>
        <w:t xml:space="preserve">1. dazu dienen, eine den aktuellen fachlichen Standards entsprechende Qualität von Pflege und Betreuung zu gewährleisten und beziehungsweise oder die für Pflegeeinrichtungen geltenden öffentlich-rechtlichen Anforderungen, insbesondere die qualitativen Vorgaben nach § 11 Absatz 3, zu erfüllen und</w:t>
      </w:r>
    </w:p>
    <w:p>
      <w:r>
        <w:t xml:space="preserve">2. den Grundsätzen der Sparsamkeit und Wirtschaftlichkeit entsprechen und insbesondere landesrechtlich festgelegte Angemessenheitsgrenzen nicht überschreiten. Über Ausnahmen im Fall einer Überschreitung der Angemessenheitsgrenzen entscheidet die jeweils zuständige Behörde, wobei stets das Einvernehmen zwischen dem zuständigen örtlichen und überörtlichen Träger der Sozialhilfe anzustreben ist. Sollte Einvernehmen nicht hergestellt werden können, so entscheidet der örtliche Träger der Sozialhilfe.</w:t>
      </w:r>
    </w:p>
    <w:p>
      <w:r>
        <w:t xml:space="preserve">(4) Der zuständigen Behörde ist im Vorfeld von baulichen Maßnahmen Gelegenheit zu geben, die Trägerinnen und Träger der Einrichtungen hinsichtlich der Wirtschaftlichkeit und Betriebsnotwendigkeit (Anerkennungsfähigkeit) der entstehenden Aufwendungen zu beraten.</w:t>
      </w:r>
    </w:p>
    <w:p>
      <w:r>
        <w:t xml:space="preserve">(5) Die förderungsfähigen Aufwendungen sind über einen angemessenen Zeitraum linear zu verteilen.</w:t>
      </w:r>
    </w:p>
    <w:p>
      <w:r>
        <w:t xml:space="preserve">(6) Aufwendungen für Erweiterungen und sonstige bauliche Maßnahmen an einem Gebäude (Folgeinvestitionen), die als wesentliche Verbesserung über einen Erhalt oder eine Wiederherstellung des ursprünglichen Zustandes hinausgehen, sind anzuerkennen, wenn sie erforderlich sind, um die für die Einrichtungsträgerin oder den Einrichtungsträger geltenden und zwingend umzusetzenden gesetzlichen Vorgaben für die Gestaltung der Gebäude zum Betrieb der Einrichtung zu erfüllen. Sie können darüber hinaus auch anerkannt werden, wenn die Maßnahme dazu dient, das Gebäude dem jeweils aktuellen Stand pflegefachlicher, energetischer und sonstiger baufachlicher Erkenntnisse anzupassen und die Aufwendungen in einem angemessenen Verhältnis zu den Vorteilen stehen, die die Maßnahme für die Nutzerinnen und Nutzer bringt. Aufwendungen für Maßnahmen, die zu einer Erweiterung des bisher vorhandenen Platzangebotes führen, können nur anerkannt werden, wenn ohne sie ein dem aktuellen Bedarf entsprechendes Angebot an Plätzen in stationären Einrichtungen vor Ort nicht sichergestellt werden kann. Die Summe aus der Addition der Aufwendungen für Maßnahmen im Sinne des Satzes 2 und der vor der Maßnahme bestehenden Restwerte darf die Höhe der für einen Neubau anerkennungsfähigen Aufwendungen nicht überschreiten.</w:t>
      </w:r>
    </w:p>
    <w:p>
      <w:r>
        <w:t xml:space="preserve">(7) Für stationäre Pflegeeinrichtungen gelten einheitliche Anforderungen an die Anerkennungsfähigkeit von Aufwendungen, es sei denn, in der Vergangenheit wurden abweichende Angemessenheitsgrenzen und Verteilungszeiträume anerkannt. Diese gelten auch weiterhin fort. Für die Ermittlung der ursprünglich entstandenen Aufwendungen für das langfristige Anlagevermögen sind neben den bei den Behörden vorhandenen Unterlagen durch die Trägerin oder den Träger beizubringende Belege über die Höhe der ursprünglichen Aufwendungen heranzuziehen. Wenn diese nicht mehr vorhanden sind, kann ein durch die Trägerin oder den Träger beizubringendes Wertgutachten zur Ermittlung der ursprünglichen Aufwendungen genutzt werden.</w:t>
      </w:r>
    </w:p>
    <w:p>
      <w:r>
        <w:t xml:space="preserve">(8) Für Eigentum und Miete beziehungsweise Pacht gelten grundsätzlich die gleichen Maßstäbe insbesondere hinsichtlich der Angemessenheit der anerkennungsfähigen Aufwendungen in ihrem Verhältnis zum tatsächlichen Nutzwert des Objektes. Befinden sich betriebsnotwendige Anlagegüter nicht im Eigentum der Trägerinnen und Träger, sondern in einem Miet- beziehungsweise Pachtverhältnis, so können die tatsächlichen Miet- bzw. Pachtzahlungen als Aufwendung im Sinne des § 82 Absatz 3 des Elften Buches Sozialgesetzbuch anerkannt werden, sofern sie betriebsnotwendig und angemessen sind. Die Anerkennungsfähigkeit der Zahlungen ist dabei auf die Beträge beschränkt, die bei einer vergleichbaren Einrichtung im Eigentum der Trägerin oder des Trägers anerkennungsfähig wären.</w:t>
      </w:r>
    </w:p>
    <w:p>
      <w:r>
        <w:t xml:space="preserve">(9) Soweit nach diesem Gesetz oder aufgrund dieses Gesetzes tatsächlich getätigte Aufwendungen nachträglich nachzuweisen sind, gelten die handels- und steuerrechtlich zu berücksichtigenden Aufwendungen als Aufwendungen im Sinne dieses Gesetzes, soweit diese keine fiktiven Aufwendungen oder Aufwendungen für Rückstellungen umfassen. Auch der Zeitpunkt, zu dem die Aufwendungen im Rahmen nachträglicher Nachweisführungen zu berücksichtigen sind, richtet sich nach handels- und steuerrechtlichen Vorgaben.</w:t>
      </w:r>
    </w:p>
    <w:p>
      <w:r>
        <w:t xml:space="preserve">(10) Das für die Pflegeversicherung zuständige Ministerium wird ermächtigt, durch Rechtsverordnung das Nähere zu regeln zur Ermittlung der förderungsfähigen Aufwendungen, insbesondere zum Verfahren und zu Art, Höhe und linearer Verteilung der anerkennungsfähigen Aufwendungen, zur Angemessenheit von Aufwendungen nach Absatz 6 Satz 2 sowie der Berechnung zur Verteilung der anerkannten Beträge auf die Pflegebedürftigen. Für Instandhaltungs- und Instandsetzungsaufwendungen sowie die jeweils der Verteilung zugrunde zu legende Belegungsquote können Pauschalierungen vorgenommen werden, die sich an den tatsächlichen Gegebenheiten zu orientieren haben. Durch Rechtsverordnung sind zudem das Verfahren einer Vergleichsberechnung nach Absatz 8 sowie mögliche Ausnahmen näher zu regeln. Darüber hinaus wird das Ministerium ermächtigt, das Verwaltungsverfahren zur gesonderten Berechnung nicht geförderter Aufwendungen gemäß § 82 Absatz 3 des Elften Buches Sozialgesetzbuch zu regeln.</w:t>
      </w:r>
    </w:p>
    <w:p>
      <w:r>
        <w:t xml:space="preserve">(11) Die überörtlichen Träger der Sozialhilfe nehmen die Aufgaben nach Absatz 1 als Pflichtaufgaben zur Erfüllung nach Weisung wahr. Die Aufsicht obliegt dem für die Pflegeversicherung zuständigen Ministerium. Es kann sich jederzeit über die Aufgabenwahrnehmung durch die überörtlichen Träger der Sozialhilfe unterrichten lassen. Es kann allgemeine oder besondere Weisungen erteilen, um die rechtmäßige Erfüllung der Aufgaben zu sichern. Zur zweckgemäßen Erfüllung der Aufgaben darf die Aufsichtsbehörde allgemeine oder besondere Weisungen erteilen, um die gleichmäßige Durchführung der Aufgaben zu sichern, wenn dies im Einzelfall zur Sicherung des Zwecks dieses Gesetzes geboten erscheint.</w:t>
      </w:r>
    </w:p>
    <w:p>
      <w:r>
        <w:rPr>
          <w:color w:val="555555"/>
          <w:sz w:val="17"/>
        </w:rPr>
        <w:t xml:space="preserve">Zitiervorschlag: § 10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