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APE (Bayern) — Ermittlung der Lehrgangsnoten</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der schriftlichen Ergänzungsprüfung werden unter Berücksichtigung der Leistungen während des Lehrgangs in allen unterrichteten Fächern Lehrgangsnoten festgesetzt. Die Lehrgangsnote ergibt sich als Durchschnittsnote aus den Leistungen der Feststellungsprüfung gemäß § 24 Abs. 1 und 6.</w:t>
      </w:r>
    </w:p>
    <w:p>
      <w:r>
        <w:t xml:space="preserve">(2) Für die Ermittlung der Durchschnittsnote gilt § 25 Abs. 2. Die Lehrgangsnote in den Fächern ohne schriftliche Ergänzungsprüfung wird gerundet; bis zu n,50 wird die bessere Note erteilt.</w:t>
      </w:r>
    </w:p>
    <w:p>
      <w:r>
        <w:t xml:space="preserve">(3) Die Lehrgangsnote wird den Teilnehmerinnen und Teilnehmern vor der schriftlichen Ergänzungsprüfung mitgeteilt.</w:t>
      </w:r>
    </w:p>
    <w:p>
      <w:r>
        <w:rPr>
          <w:color w:val="555555"/>
          <w:sz w:val="17"/>
        </w:rPr>
        <w:t xml:space="preserve">Zitiervorschlag: § 27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