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APE (Bayern) — Übertritt und Ausscheiden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Vorliegen eines wichtigen Grundes, insbesondere bei Wohnortwechsel, kann eine Teilnehmerin oder ein Teilnehmer auf Antrag einem anderen kolleg24-Standort zugewiesen werden.</w:t>
      </w:r>
    </w:p>
    <w:p>
      <w:r>
        <w:t xml:space="preserve">(2) Aus dem kolleg24 scheidet aus, wer</w:t>
      </w:r>
    </w:p>
    <w:p>
      <w:r>
        <w:t xml:space="preserve">1. die Voraussetzung zur weiteren Teilnahme nach § 19 Abs. 2 Nr. 3 nicht erfüllt,</w:t>
      </w:r>
    </w:p>
    <w:p>
      <w:r>
        <w:t xml:space="preserve">2. seinen Austritt erklärt,</w:t>
      </w:r>
    </w:p>
    <w:p>
      <w:r>
        <w:t xml:space="preserve">3. nicht innerhalb zweier aufeinander folgender Lehrgänge in allen Fächern Leistungen nachweist, oder</w:t>
      </w:r>
    </w:p>
    <w:p>
      <w:r>
        <w:t xml:space="preserve">4. wegen grober Verstöße gegen die den Teilnehmerinnen und Teilnehmern obliegenden Verpflichtungen, insbesondere bei Vorliegen der Voraussetzungen des Art. 86 Abs. 2 Nr. 10, 11 oder Nr. 12 BayEUG, vom kolleg24 entlassen wird.</w:t>
      </w:r>
    </w:p>
    <w:p>
      <w:r>
        <w:rPr>
          <w:color w:val="555555"/>
          <w:sz w:val="17"/>
        </w:rPr>
        <w:t xml:space="preserve">Zitiervorschlag: § 20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