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APAstErG — In der Abschlussprüferaufsichtsstelle tätige Arbeitnehmerinnen und Arbeitnehmer sowie Auszubildende</w:t>
      </w:r>
    </w:p>
    <w:p>
      <w:r>
        <w:rPr>
          <w:color w:val="555555"/>
          <w:sz w:val="18"/>
        </w:rPr>
        <w:t xml:space="preserve">Gesetz zur Einrichtung einer Abschlussprüferaufsichtsstelle beim Bundesamt für Wirtschaft und Ausfuhrkontrolle</w:t>
      </w:r>
    </w:p>
    <w:p>
      <w:r>
        <w:rPr>
          <w:color w:val="555555"/>
          <w:sz w:val="18"/>
        </w:rPr>
        <w:t xml:space="preserve">Stand: 01.07.2020 (konsolidierte Textfassung, kein amtliches Inkrafttretensdatum)</w:t>
      </w:r>
    </w:p>
    <w:p>
      <w:r>
        <w:t xml:space="preserve">(1) Auf in der Abschlussprüferaufsichtsstelle tätige Arbeitnehmerinnen und Arbeitnehmer sowie Auszubildende sind die für Arbeitnehmerinnen und Arbeitnehmer sowie Auszubildende des Bundes jeweils geltenden Tarifverträge und sonstigen Bestimmungen anzuwenden.</w:t>
      </w:r>
    </w:p>
    <w:p>
      <w:r>
        <w:t xml:space="preserve">(2) In der Abschlussprüferaufsichtsstelle tätige Arbeitnehmerinnen und Arbeitnehmer können mit Zustimmung des Bundesministeriums für Wirtschaft und Energie, die der im Einvernehmen mit dem Bundesministerium der Finanzen zu erteilenden Einwilligung des Bundesministeriums des Innern, für Bau und Heimat bedarf, auch oberhalb der höchsten tarifvertraglichen Entgeltgruppe in einem außertariflichen Arbeitsverhältnis beschäftigt werden, soweit dies für die Durchführung der Aufgaben der Abschlussprüferaufsichtsstelle erforderlich ist. Satz 1 gilt für die sonstige Gewährung von über- oder außertariflichen Leistungen entsprechend.</w:t>
      </w:r>
    </w:p>
    <w:p>
      <w:r>
        <w:rPr>
          <w:color w:val="555555"/>
          <w:sz w:val="17"/>
        </w:rPr>
        <w:t xml:space="preserve">Zitiervorschlag: § 2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