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APASGebV — Gebührenermäßigung</w:t>
      </w:r>
    </w:p>
    <w:p>
      <w:r>
        <w:rPr>
          <w:color w:val="555555"/>
          <w:sz w:val="18"/>
        </w:rPr>
        <w:t xml:space="preserve">Abschlussprüferaufsichtsstellen-Gebührenverordnung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Hat das Gesamthonorar der Praxis, das mit gesetzlichen Abschlussprüfungen bei Unternehmen von öffentlichem Interesse nach § 316a Satz 2 des Handelsgesetzbuchs erzielt worden ist, im Vorjahr weniger als 150 000 Euro betragen, werden die Gebühren nach den Nummern 1 und 9 der Anlage um 25 Prozent ermäßigt. Hat das Gesamthonorar nach Satz 1 im Vorjahr weniger als 50 000 Euro betragen, werden die Gebühren nach den Nummern 1 und 9 der Anlage um 50 Prozent ermäßigt. § 3 Absatz 3 gilt entsprechend.</w:t>
      </w:r>
    </w:p>
    <w:p>
      <w:r>
        <w:rPr>
          <w:color w:val="555555"/>
          <w:sz w:val="17"/>
        </w:rPr>
        <w:t xml:space="preserve">Zitiervorschlag: § 4 APASGebV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https://recht.nulegal.eu/gesetze/APASGebV/4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