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APASGebV — Berechnung der Gebühren</w:t>
      </w:r>
    </w:p>
    <w:p>
      <w:r>
        <w:rPr>
          <w:color w:val="555555"/>
          <w:sz w:val="18"/>
        </w:rPr>
        <w:t xml:space="preserve">Abschlussprüferaufsichtsstellen-Gebührenverordnung</w:t>
      </w:r>
    </w:p>
    <w:p>
      <w:r>
        <w:rPr>
          <w:color w:val="555555"/>
          <w:sz w:val="18"/>
        </w:rPr>
        <w:t xml:space="preserve">Stand: 01.07.2021 (konsolidierte Textfassung, kein amtliches Inkrafttretensdatum)</w:t>
      </w:r>
    </w:p>
    <w:p>
      <w:r>
        <w:t xml:space="preserve">(1) Für Leistungen in den einzelnen Tätigkeitsbereichen werden Festgebühren gemäß dem Gebührenverzeichnis (Anlage) erhoben.</w:t>
      </w:r>
    </w:p>
    <w:p>
      <w:r>
        <w:t xml:space="preserve">(2) Kann bei der Gebührenberechnung nach Nummer 1 und 9 der Anlage das Gesamthonorar, das der Abschlussprüfer oder die Prüfungsgesellschaft (Praxis) mit der gesetzlichen Abschlussprüfung bei Unternehmen von öffentlichem Interesse nach § 316a Satz 2 des Handelsgesetzbuchs erzielt hat, von der Abschlussprüferaufsichtsstelle nicht von Amts wegen ermittelt werden und weist die Praxis das Gesamthonorar auf Aufforderung nicht unverzüglich nach, so ist es von der Abschlussprüferaufsichtsstelle zu schätzen. Bei der Schätzung sind die Gesamthonorare zu berücksichtigen, die bei vergleichbaren Abschlussprüfungen erzielt werden.</w:t>
      </w:r>
    </w:p>
    <w:p>
      <w:r>
        <w:t xml:space="preserve">(3) Bei Inspektionen nach § 63h des Genossenschaftsgesetzes ist für die Berechnung der Gebühren nach Absatz 2 und nach Nummer 1 der Anlage das Gesamthonorar maßgeblich, das der Prüfungsverband mit der gesetzlich vorgeschriebenen Abschlussprüfung von Unternehmen von öffentlichem Interesse nach § 316a Satz 2 Nummer 1 des Handelsgesetzbuchs erzielt hat.</w:t>
      </w:r>
    </w:p>
    <w:p>
      <w:r>
        <w:rPr>
          <w:color w:val="555555"/>
          <w:sz w:val="17"/>
        </w:rPr>
        <w:t xml:space="preserve">Zitiervorschlag: § 3 APASGebV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https://recht.nulegal.eu/gesetze/APASGebV/3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