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APASGebV — Gebühren und Auslagen</w:t>
      </w:r>
    </w:p>
    <w:p>
      <w:r>
        <w:rPr>
          <w:color w:val="555555"/>
          <w:sz w:val="18"/>
        </w:rPr>
        <w:t xml:space="preserve">Abschlussprüferaufsichtsstellen-Gebührenverordnung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Gebühren werden gemäß den nachfolgenden Bestimmungen und dem Gebührenverzeichnis (Anlage) erhoben.</w:t>
      </w:r>
    </w:p>
    <w:p>
      <w:r>
        <w:t xml:space="preserve">(2) Auslagen werden nach Maßgabe der § 9 Absatz 1 Satz 1 und 2 sowie § 12 Absatz 1 des Bundesgebührengesetzes erhoben. Darüber hinaus sind Auslagen zu erheben für</w:t>
      </w:r>
    </w:p>
    <w:p>
      <w:pPr>
        <w:ind w:left="420"/>
      </w:pPr>
      <w:r>
        <w:t xml:space="preserve">1. Kosten für die Einholung von Gutachten sachverständiger Dritter und</w:t>
      </w:r>
    </w:p>
    <w:p>
      <w:pPr>
        <w:ind w:left="420"/>
      </w:pPr>
      <w:r>
        <w:t xml:space="preserve">2. Kosten durch Dienstreisen außerhalb der Bundesrepublik Deutschland.</w:t>
      </w:r>
    </w:p>
    <w:p>
      <w:r>
        <w:rPr>
          <w:color w:val="555555"/>
          <w:sz w:val="17"/>
        </w:rPr>
        <w:t xml:space="preserve">Zitiervorschlag: § 2 APASGebV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https://recht.nulegal.eu/gesetze/APASGebV/2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