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AP-mDBGSV — Weitere fachtheoretische und fachpraktische Ausbildung</w:t>
      </w:r>
    </w:p>
    <w:p>
      <w:r>
        <w:rPr>
          <w:color w:val="555555"/>
          <w:sz w:val="18"/>
        </w:rPr>
        <w:t xml:space="preserve">Verordnung über die Ausbildung und Prüfung für den mittleren Polizeivollzugsdienst in der Bundespolizei</w:t>
      </w:r>
    </w:p>
    <w:p>
      <w:r>
        <w:rPr>
          <w:color w:val="555555"/>
          <w:sz w:val="18"/>
        </w:rPr>
        <w:t xml:space="preserve">Historische Fassung: Stand 10.06.2019 bis 20.03.2020. Dies ist nicht die aktuelle Fassung.</w:t>
      </w:r>
    </w:p>
    <w:p>
      <w:r>
        <w:t xml:space="preserve">(1) Ziel der weiteren fachtheoretischen und fachpraktischen Ausbildung ist es, die während der Grundausbildung erworbenen theoretischen Kenntnisse und praktischen Fertigkeiten zu erweitern und zu vertiefen sowie die körperliche Leistungsfähigkeit weiter zu steigern.</w:t>
      </w:r>
    </w:p>
    <w:p>
      <w:r>
        <w:t xml:space="preserve">(2) Die weitere fachtheoretische und fachpraktische Ausbildung umfasst die Ausbildungsbereiche gemäß § 5 Abs. 2 Nr. 1 bis 6 sowie Praktika in den Einsatzfeldern der Bundespolizei. Das Nähere regelt der Ausbildungsplan.</w:t>
      </w:r>
    </w:p>
    <w:p>
      <w:r>
        <w:t xml:space="preserve">(3) In den Prüfungsfächern (§ 16 Abs. 1) ist jeweils eine schriftliche Aufsichtsarbeit von 90 Minuten Dauer, in allen anderen Unterrichtsfächern jeweils eine schriftliche Aufsichtsarbeit von 45 Minuten Dauer zu fertigen. In den Fächern der praktischen Ausbildung (Einsatzausbildung, Zwangsmitteleinsatz, Polizeitechnik) und im Fach Dienstsport sind Leistungsnachweise in Form von praktischen Überprüfungen zu erbringen. Die Aufsichtsarbeiten fließen mit 50 vom Hundert in die jeweils entsprechend § 17 Abs. 1 zu bildende Fachnote ein. Die weiteren 50 vom Hundert ergeben sich aus den Leistungstests. Aus den einzelnen Fachnoten ist entsprechend § 17 Abs. 1 Satz 2 eine Durchschnittsrangpunktzahl zu bilden.</w:t>
      </w:r>
    </w:p>
    <w:p>
      <w:r>
        <w:rPr>
          <w:color w:val="555555"/>
          <w:sz w:val="17"/>
        </w:rPr>
        <w:t xml:space="preserve">Zitiervorschlag: § 7 AP-mDBGSV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https://recht.nulegal.eu/gesetze/AP-mDBGSV/7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