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AP-mDBGSV — Lehrgangsleistungen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(1) Die Lehrgangsleistungen für die Zwischenprüfung und für die Laufbahnprüfung ergeben sich aus den nach § 6 Abs. 4 und § 8 Abs. 3 erteilten Fachnoten. Aus diesen Fachnoten ist jeweils nach Maßgabe des § 17 Abs. 1 Satz 2 eine Durchschnittsrangpunktzahl zu bilden.</w:t>
      </w:r>
    </w:p>
    <w:p>
      <w:r>
        <w:t xml:space="preserve">(2) Die Lehrgangsleistungen nach Absatz 1 sind von der Ausbildungsleiterin oder dem Ausbildungsleiter festzustellen und den Anwärterinnen und Anwärtern mindestens drei Arbeitstage vor der schriftlichen Prüfung bekannt zu geben.</w:t>
      </w:r>
    </w:p>
    <w:p>
      <w:r>
        <w:rPr>
          <w:color w:val="555555"/>
          <w:sz w:val="17"/>
        </w:rPr>
        <w:t xml:space="preserve">Zitiervorschlag: § 18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