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AOK-VO (Brandenburg)</w:t>
      </w:r>
    </w:p>
    <w:p>
      <w:r>
        <w:rPr>
          <w:color w:val="555555"/>
          <w:sz w:val="18"/>
        </w:rPr>
        <w:t xml:space="preserve">Errichtungsverordnung AOK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tritt am Tage nach ihrer Verkündung in</w:t>
      </w:r>
    </w:p>
    <w:p>
      <w:r>
        <w:t xml:space="preserve">Kraft.</w:t>
      </w:r>
    </w:p>
    <w:p>
      <w:r>
        <w:t xml:space="preserve">Die Landesregierung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Die Ministerin für Arbeit, Soziales, Gesundheit und</w:t>
      </w:r>
    </w:p>
    <w:p>
      <w:r>
        <w:t xml:space="preserve">Frauen</w:t>
      </w:r>
    </w:p>
    <w:p>
      <w:r>
        <w:t xml:space="preserve">Dr. Regine Hildebrandt</w:t>
      </w:r>
    </w:p>
    <w:p>
      <w:r>
        <w:rPr>
          <w:color w:val="555555"/>
          <w:sz w:val="17"/>
        </w:rPr>
        <w:t xml:space="preserve">Zitiervorschlag: § 3 AOK-VO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https://recht.nulegal.eu/gesetze/AOK-VO/3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