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AOK-VO (Brandenburg)</w:t>
      </w:r>
    </w:p>
    <w:p>
      <w:r>
        <w:rPr>
          <w:color w:val="555555"/>
          <w:sz w:val="18"/>
        </w:rPr>
        <w:t xml:space="preserve">Errichtungsverordnung AOK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Sitz und Hauptgeschäftsstellen werden durch die Satzung</w:t>
      </w:r>
    </w:p>
    <w:p>
      <w:r>
        <w:t xml:space="preserve">festgelegt.</w:t>
      </w:r>
    </w:p>
    <w:p>
      <w:r>
        <w:rPr>
          <w:color w:val="555555"/>
          <w:sz w:val="17"/>
        </w:rPr>
        <w:t xml:space="preserve">Zitiervorschlag: § 2 AOK-VO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https://recht.nulegal.eu/gesetze/AOK-VO/2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