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14 AOJwD (Sachsen) — Inkrafttreten</w:t>
      </w:r>
    </w:p>
    <w:p>
      <w:r>
        <w:rPr>
          <w:color w:val="555555"/>
          <w:sz w:val="18"/>
        </w:rPr>
        <w:t xml:space="preserve">Verordnung des Sächsischen Staatsministeriums der Justiz über die Ausbildung für die Laufbahn des Justizwachtmeisterdienstes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Diese Verordnung tritt am Tage nach ihrer Verkündung in Kraft.</w:t>
      </w:r>
    </w:p>
    <w:p>
      <w:r>
        <w:t xml:space="preserve">Dresden, den 13. November 1995</w:t>
      </w:r>
    </w:p>
    <w:p>
      <w:r>
        <w:t xml:space="preserve">Der Staatsminister der Justiz</w:t>
      </w:r>
    </w:p>
    <w:p>
      <w:r>
        <w:t xml:space="preserve">Steffen Heitmann</w:t>
      </w:r>
    </w:p>
    <w:p>
      <w:r>
        <w:rPr>
          <w:color w:val="555555"/>
          <w:sz w:val="17"/>
        </w:rPr>
        <w:t xml:space="preserve">Zitiervorschlag: § 14 AOJwD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https://recht.nulegal.eu/gesetze/AOJwD/14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