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99 AOEG 1977 — Ermächtigungen</w:t>
      </w:r>
    </w:p>
    <w:p>
      <w:r>
        <w:rPr>
          <w:color w:val="555555"/>
          <w:sz w:val="18"/>
        </w:rPr>
        <w:t xml:space="preserve">Einführungsgesetz zur Abgabenordnung</w:t>
      </w:r>
    </w:p>
    <w:p>
      <w:r>
        <w:rPr>
          <w:color w:val="555555"/>
          <w:sz w:val="18"/>
        </w:rPr>
        <w:t xml:space="preserve">Stand: 10.06.2019 (konsolidierte Textfassung, kein amtliches Inkrafttretensdatum)</w:t>
      </w:r>
    </w:p>
    <w:p>
      <w:r>
        <w:t xml:space="preserve">(1) Das Bundesministerium der Finanzen wird ermächtigt, durch Rechtsverordnung in den Fällen, in denen Verbrauchsteuergesetze für verbrauchsteuerpflichtige Waren Steuerbefreiungen, Steuerermäßigungen oder sonstige Steuervergünstigungen unter der Bedingung vorsehen, daß diese Waren einer besonderen Bestimmung zugeführt werden, zur Sicherung des Steueraufkommens und zur Vereinfachung des Verfahrens anzuordnen, daß</w:t>
      </w:r>
    </w:p>
    <w:p>
      <w:pPr>
        <w:ind w:left="420"/>
      </w:pPr>
      <w:r>
        <w:t xml:space="preserve">1. die Steuer nur bedingt entsteht; bei einer Steuerermäßigung gilt dies in Höhe des Unterschieds zwischen dem vollen und dem ermäßigten Steuersatz,</w:t>
      </w:r>
    </w:p>
    <w:p>
      <w:pPr>
        <w:ind w:left="420"/>
      </w:pPr>
      <w:r>
        <w:t xml:space="preserve">2. eine bedingte Steuer außer in sonst gesetzlich bestimmten Fällen auch unbedingt wird, wenn</w:t>
      </w:r>
    </w:p>
    <w:p>
      <w:pPr>
        <w:ind w:left="780"/>
      </w:pPr>
      <w:r>
        <w:t xml:space="preserve">a) die verbrauchsteuerpflichtige Ware entgegen Rechtsvorschriften über das Verfahren der Steueraufsicht vorenthalten oder entzogen wird,</w:t>
      </w:r>
    </w:p>
    <w:p>
      <w:pPr>
        <w:ind w:left="780"/>
      </w:pPr>
      <w:r>
        <w:t xml:space="preserve">b) eine befristete Erlaubnis für die Inanspruchnahme einer Steuervergünstigung erlischt, hinsichtlich der in diesem Zeitpunkt beim Inhaber der Erlaubnis noch vorhandenen Bestände an von ihm steuerbegünstigt bezogenen verbrauchsteuerpflichtigen Waren.</w:t>
      </w:r>
    </w:p>
    <w:p>
      <w:r>
        <w:t xml:space="preserve">(2) Rechtsverordnungen nach Absatz 1 und andere Rechtsverordnungen, die auf Grund der in diesem Gesetz enthaltenen Ermächtigungen auf dem Gebiet der Verbrauchsteuern und Finanzmonopole (Artikel 20 bis 32) erlassen werden, bedürfen, außer wenn sie die Biersteuer betreffen, nicht der Zustimmung des Bundesrates.</w:t>
      </w:r>
    </w:p>
    <w:p>
      <w:r>
        <w:rPr>
          <w:color w:val="555555"/>
          <w:sz w:val="17"/>
        </w:rPr>
        <w:t xml:space="preserve">Zitiervorschlag: Art 99 AOEG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99 AOEG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