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97 § 20 AOEG 1977 — Verweisungserfordernis bei Blankettvorschriften</w:t>
      </w:r>
    </w:p>
    <w:p>
      <w:r>
        <w:rPr>
          <w:color w:val="555555"/>
          <w:sz w:val="18"/>
        </w:rPr>
        <w:t xml:space="preserve">Einführungsgesetz zur Abgabenordnung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§ 381 Abs. 1, § 382 Abs. 1 der Abgabenordnung vorgeschriebene Verweisung ist nicht erforderlich, soweit die Vorschriften der dort genannten Gesetze und Rechtsverordnungen vor dem 1. Oktober 1968 erlassen sind.</w:t>
      </w:r>
    </w:p>
    <w:p>
      <w:r>
        <w:rPr>
          <w:color w:val="555555"/>
          <w:sz w:val="17"/>
        </w:rPr>
        <w:t xml:space="preserve">Zitiervorschlag: Art 97 § 20 AOEG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https://recht.nulegal.eu/gesetze/AOEG%201977/97-20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