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§ 17c AOEG 1977 — Pfändung fortlaufender Bezüge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313 Abs. 3 der Abgabenordnung in der Fassung des Artikels 2 Abs. 11 Nr. 3 des Zweiten Gesetzes zur Änderung zwangsvollstreckungsrechtlicher Vorschriften vom 17. Dezember 1997 (BGBl. I S. 3039) gilt nicht für Arbeits- und Dienstverhältnisse, die vor Inkrafttreten dieses Gesetzes beendet waren.</w:t>
      </w:r>
    </w:p>
    <w:p>
      <w:r>
        <w:rPr>
          <w:color w:val="555555"/>
          <w:sz w:val="17"/>
        </w:rPr>
        <w:t xml:space="preserve">Zitiervorschlag: Art 97 § 17c AOEG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https://recht.nulegal.eu/gesetze/AOEG%201977/97-17c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