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AOEG 1977 — Überleitungsbestimmungen für die Anwendung der Abgabenordnung in dem in Artikel 3 des Einigungsvertrages genannten Gebiet</w:t>
      </w:r>
    </w:p>
    <w:p>
      <w:r>
        <w:rPr>
          <w:color w:val="555555"/>
          <w:sz w:val="18"/>
        </w:rPr>
        <w:t xml:space="preserve">Einführungsgesetz zur Abgabenordnung</w:t>
      </w:r>
    </w:p>
    <w:p>
      <w:r>
        <w:rPr>
          <w:color w:val="555555"/>
          <w:sz w:val="18"/>
        </w:rPr>
        <w:t xml:space="preserve">Außer Kraft: § 2 ist seit 01.01.2025 nicht mehr im AOEG 1977 enthalten. Angezeigt wird die letzte bekannte Fassung, Stand 10.06.2019.</w:t>
      </w:r>
    </w:p>
    <w:p>
      <w:r>
        <w:t xml:space="preserve">Für die Anwendung der Abgabenordnung in dem in Artikel 3 des Einigungsvertrages genannten Gebiet gilt folgendes:</w:t>
      </w:r>
    </w:p>
    <w:p>
      <w:pPr>
        <w:ind w:left="420"/>
      </w:pPr>
      <w:r>
        <w:t xml:space="preserve">1. Verfahren, die beim Wirksamwerden des Beitritts anhängig sind, werden nach den Vorschriften der Abgabenordnung zu Ende geführt, soweit in den nachfolgenden Vorschriften nichts anderes bestimmt ist.</w:t>
      </w:r>
    </w:p>
    <w:p>
      <w:pPr>
        <w:ind w:left="420"/>
      </w:pPr>
      <w:r>
        <w:t xml:space="preserve">2. Fristen, deren Lauf vor dem Wirksamwerden des Beitritts begonnen hat, werden nach den Vorschriften der Abgabenordnung der Deutschen Demokratischen Republik (AO 1990) vom 22. Juni 1990 (Sonderdruck Nr. 1428 des Gesetzblattes) sowie des Einführungsgesetzes zur Abgabenordnung der Deutschen Demokratischen Republik vom 22. Juni 1990 (Sonderdruck Nr. 1428 des Gesetzblattes) berechnet, soweit in den nachfolgenden Vorschriften nichts anderes bestimmt ist.</w:t>
      </w:r>
    </w:p>
    <w:p>
      <w:pPr>
        <w:ind w:left="420"/>
      </w:pPr>
      <w:r>
        <w:t xml:space="preserve">3. § 152 ist erstmals auf Steuererklärungen anzuwenden, die nach dem Wirksamwerden des Beitritts einzureichen sind; eine Verlängerung der Steuererklärungsfrist ist hierbei nicht zu berücksichtigen.</w:t>
      </w:r>
    </w:p>
    <w:p>
      <w:pPr>
        <w:ind w:left="420"/>
      </w:pPr>
      <w:r>
        <w:t xml:space="preserve">4. Die Vorschriften über die Aufhebung und Änderung von Verwaltungsakten sind erstmals anzuwenden, wenn nach dem Wirksamwerden des Beitritts ein Verwaltungsakt aufgehoben oder geändert wird. Dies gilt auch dann, wenn der aufzuhebende oder zu ändernde Verwaltungsakt vor dem Wirksamwerden des Beitritts erlassen worden ist. Auf vorläufige Steuerbescheide nach § 100 Abs. 1 der Abgabenordnung (AO) der Deutschen Demokratischen Republik in der Fassung vom 18. September 1970 (Sonderdruck Nr. 681 des Gesetzblattes) ist § 165 Abs. 2, auf Steuerbescheide nach § 100 Abs. 2 der Abgabenordnung (AO) der Deutschen Demokratischen Republik in der Fassung vom 18. September 1970 (Sonderdruck Nr. 681 des Gesetzblattes) ist § 164 Abs. 2 und 3 anzuwenden.</w:t>
      </w:r>
    </w:p>
    <w:p>
      <w:pPr>
        <w:ind w:left="420"/>
      </w:pPr>
      <w:r>
        <w:t xml:space="preserve">5. Die Vorschriften über die Festsetzungsverjährung gelten für die Festsetzung sowie für die Aufhebung und Festsetzung von Steuern, Steuervergütungen und, soweit für steuerliche Nebenleistungen eine Festsetzungsverjährung vorgesehen ist, von steuerlichen Nebenleistungen, die nach dem Wirksamwerden des Beitritts entstehen. Für vorher entstandene Ansprüche sind die Vorschriften der Abgabenordnung der Deutschen Demokratischen Republik (AO 1990) vom 22. Juni 1990 (Sonderdruck Nr. 1428 des Gesetzblattes) sowie des Einführungsgesetzes zur Abgabenordnung der Deutschen Demokratischen Republik vom 22. Juni 1990 (Sonderdruck Nr. 1428 des Gesetzblattes) über die Verjährung und über die Ausschlußfristen weiter anzuwenden, soweit sie für die Festsetzung einer Steuer, Steuervergütung oder steuerlichen Nebenleistung, für die Aufhebung oder Änderung einer solchen Festsetzung oder für die Geltendmachung von Erstattungsansprüchen von Bedeutung sind; Nummer 9 Satz 2 bis 4 bleibt unberührt. Sätze 1 und 2 gelten sinngemäß für die gesonderte Feststellung von Besteuerungsgrundlagen sowie für die Festsetzung, Zerlegung und Zuteilung von Steuermeßbeträgen. Bei der Einheitsbewertung tritt an die Stelle des Zeitpunkts der Entstehung des Steueranspruchs der Zeitpunkt, auf den die Hauptfeststellung, die Fortschreibung, die Nachfeststellung oder die Aufhebung eines Einheitswertes vorzunehmen ist.</w:t>
      </w:r>
    </w:p>
    <w:p>
      <w:pPr>
        <w:ind w:left="420"/>
      </w:pPr>
      <w:r>
        <w:t xml:space="preserve">6. §§ 69 bis 76 und 191 Abs. 3 bis 5 sind anzuwenden, wenn der haftungsbegründende Tatbestand nach dem Wirksamwerden des Beitritts verwirklicht worden ist.</w:t>
      </w:r>
    </w:p>
    <w:p>
      <w:pPr>
        <w:ind w:left="420"/>
      </w:pPr>
      <w:r>
        <w:t xml:space="preserve">7. Bei der Anwendung des § 141 Abs. 1 Nr. 3 tritt an die Stelle des Wirtschaftswerts der Ersatzwirtschaftswert (§ 125 des Bewertungsgesetzes).</w:t>
      </w:r>
    </w:p>
    <w:p>
      <w:pPr>
        <w:ind w:left="420"/>
      </w:pPr>
      <w:r>
        <w:t xml:space="preserve">8. Die Vorschriften über verbindliche Zusagen auf Grund einer Außenprüfung (§§ 204 bis 207) sind anzuwenden, wenn die Schlußbesprechung nach dem Wirksamwerden des Beitritts stattfindet oder, falls eine solche nicht erforderlich ist, wenn dem Steuerpflichtigen der Prüfungsbericht nach dem Wirksamwerden des Beitritts zugegangen ist. Hat die Schlußbesprechung nach dem 30. Juni 1990 und vor dem Wirksamwerden des Beitritts stattgefunden oder war eine solche nicht erforderlich und ist der Prüfungsbericht dem Steuerpflichtigen nach dem 30. Juni 1990 und vor dem Wirksamwerden des Beitritts zugegangen, sind die bisherigen Vorschriften der Abgabenordnung der Deutschen Demokratischen Republik (AO 1990) vom 22. Juni 1990 (Sonderdruck Nr. 1428 des Gesetzblattes) sowie des Einführungsgesetzes zur Abgabenordnung der Deutschen Demokratischen Republik vom 22. Juni 1990 (Sonderdruck Nr. 1428 des Gesetzblattes) über verbindliche Zusagen auf Grund einer Außenprüfung weiter anzuwenden.</w:t>
      </w:r>
    </w:p>
    <w:p>
      <w:pPr>
        <w:ind w:left="420"/>
      </w:pPr>
      <w:r>
        <w:t xml:space="preserve">9. Die Vorschriften über die Zahlungsverjährung gelten für alle Ansprüche im Sinne des § 228 Satz 1, deren Verjährung gemäß § 229 nach dem Wirksamwerden des Beitritts beginnt. Liegen die Voraussetzungen des Satzes 1 nicht vor, so sind für die Ansprüche weiterhin die Vorschriften der Abgabenordnung der Deutschen Demokratischen Republik (AO 1990) vom 22. Juni 1990 (Sonderdruck Nr. 1428 des Gesetzblattes) sowie des Einführungsgesetzes zur Abgabenordnung der Deutschen Demokratischen Republik vom 22. Juni 1990 (Sonderdruck Nr. 1428 des Gesetzblattes) über die Verjährung und Ausschlußfristen anzuwenden. Die Verjährung wird jedoch ab Wirksamwerden des Beitritts nur noch nach den §§ 230 und 231 gehemmt und unterbrochen. Auf die nach § 231 Abs. 3 beginnende neue Verjährungsfrist sind die §§ 228 bis 232 anzuwenden.</w:t>
      </w:r>
    </w:p>
    <w:p>
      <w:pPr>
        <w:ind w:left="420"/>
      </w:pPr>
      <w:r>
        <w:t xml:space="preserve">10. Zinsen entstehen für die Zeit nach dem Wirksamwerden des Beitritts nach den Vorschriften der Abgabenordnung. Die Vorschriften des § 233a über die Verzinsung von Steuernachforderungen und Steuererstattungen sind erstmals für Steuern anzuwenden, die nach dem 31. Dezember 1990 entstehen. Ist eine Steuer über den Tag des Wirksamwerdens des Beitritts hinaus zinslos gestundet worden, so gilt dies als Verzicht auf Zinsen im Sinne des § 234 Abs. 2. Die Vorschriften des § 239 Abs. 1 über die Festsetzungsfrist gelten in allen Fällen, in denen die Festsetzungsfrist auf Grund dieser Vorschrift nach dem Wirksamwerden des Beitritts beginnt.</w:t>
      </w:r>
    </w:p>
    <w:p>
      <w:pPr>
        <w:ind w:left="420"/>
      </w:pPr>
      <w:r>
        <w:t xml:space="preserve">11. § 240 ist erstmals auf Säumniszuschläge anzuwenden, die nach dem Wirksamwerden des Beitritts verwirkt werden.</w:t>
      </w:r>
    </w:p>
    <w:p>
      <w:pPr>
        <w:ind w:left="420"/>
      </w:pPr>
      <w:r>
        <w:t xml:space="preserve">12. Wird ein Verwaltungsakt angefochten, der vor dem Wirksamwerden des Beitritts wirksam geworden ist, bestimmt sich die Zulässigkeit des außergerichtlichen Rechtsbehelfs nach den bisherigen Vorschriften; ist über den Rechtsbehelf nach dem Wirksamwerden des Beitritts zu entscheiden, richten sich die Art des außergerichtlichen Rechtsbehelfs sowie das weitere Verfahren nach den neuen Vorschriften.</w:t>
      </w:r>
    </w:p>
    <w:p>
      <w:pPr>
        <w:ind w:left="420"/>
      </w:pPr>
      <w:r>
        <w:t xml:space="preserve">13. Eine vor dem Wirksamwerden des Beitritts begonnene Maßnahme der Zwangsvollstreckung ist nach dem bisherigen Recht zu erledigen. Werden weitere selbständige Maßnahmen zur Fortsetzung der bereits begonnenen Zwangsvollstreckung nach dem Wirksamwerden des Beitritts eingeleitet, gelten die Vorschriften der Abgabenordnung. Als selbständige Maßnahme gilt auch die Verwertung eines gepfändeten Gegenstandes.</w:t>
      </w:r>
    </w:p>
    <w:p>
      <w:r>
        <w:rPr>
          <w:color w:val="555555"/>
          <w:sz w:val="17"/>
        </w:rPr>
        <w:t xml:space="preserve">Zitiervorschlag: § 2 AOEG 1977</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https://recht.nulegal.eu/gesetze/AOEG%201977/2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