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AOEG 1977 — Haftung</w:t>
      </w:r>
    </w:p>
    <w:p>
      <w:r>
        <w:rPr>
          <w:color w:val="555555"/>
          <w:sz w:val="18"/>
        </w:rPr>
        <w:t xml:space="preserve">Einführungsgesetz zur Abgabenordnung</w:t>
      </w:r>
    </w:p>
    <w:p>
      <w:r>
        <w:rPr>
          <w:color w:val="555555"/>
          <w:sz w:val="18"/>
        </w:rPr>
        <w:t xml:space="preserve">Außer Kraft: § 11 ist seit 25.01.2021 nicht mehr im AOEG 1977 enthalten. Angezeigt wird die letzte bekannte Fassung, Stand 10.01.2020.</w:t>
      </w:r>
    </w:p>
    <w:p>
      <w:r>
        <w:t xml:space="preserve">(1) Die Vorschriften der §§ 69 bis 76 und 191 Abs. 3 bis 5 der Abgabenordnung sind anzuwenden, wenn der haftungsbegründende Tatbestand nach dem 31. Dezember 1976 verwirklicht worden ist.</w:t>
      </w:r>
    </w:p>
    <w:p>
      <w:r>
        <w:t xml:space="preserve">(2) Die Vorschriften der Abgabenordnung über die Haftung sind in der Fassung des Steuerbereinigungsgesetzes 1986 anzuwenden, wenn der haftungsbegründende Tatbestand nach dem 31. Dezember 1986 verwirklicht worden ist.</w:t>
      </w:r>
    </w:p>
    <w:p>
      <w:r>
        <w:t xml:space="preserve">(3) § 71 der Abgabenordnung in der am 1. Januar 2017 geltenden Fassung ist erstmals anzuwenden, wenn der haftungsbegründende Tatbestand nach dem 31. Dezember 2016 verwirklicht worden ist.</w:t>
      </w:r>
    </w:p>
    <w:p>
      <w:r>
        <w:t xml:space="preserve">(4) § 73 der Abgabenordnung in der am 18. Dezember 2019 geltenden Fassung ist erstmals anzuwenden, wenn der haftungsbegründende Tatbestand nach dem 17. Dezember 2019 verwirklicht worden ist.</w:t>
      </w:r>
    </w:p>
    <w:p>
      <w:r>
        <w:rPr>
          <w:color w:val="555555"/>
          <w:sz w:val="17"/>
        </w:rPr>
        <w:t xml:space="preserve">Zitiervorschlag: § 11 AOEG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https://recht.nulegal.eu/gesetze/AOEG%201977/11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AOEG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