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102 AOEG 1977 — Inkrafttreten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1977 in Kraft, soweit nichts anderes bestimmt ist.</w:t>
      </w:r>
    </w:p>
    <w:p>
      <w:r>
        <w:t xml:space="preserve">(2) § 17 Abs. 3 des Finanzverwaltungsgesetzes in der Fassung des Artikels 1 Nr. 7 Buchstabe b, Artikel 11, Artikel 17 Nr. 13 Buchstabe c, Artikel 97 § 19 und Artikel 99 treten am Tage nach der Verkündung in Kraft.</w:t>
      </w:r>
    </w:p>
    <w:p>
      <w:r>
        <w:t xml:space="preserve">(3) Artikel 14 Nr. 1 Buchstabe a gilt erstmals für die Vermögensteuer des Kalenderjahrs 1975.</w:t>
      </w:r>
    </w:p>
    <w:p>
      <w:r>
        <w:rPr>
          <w:color w:val="555555"/>
          <w:sz w:val="17"/>
        </w:rPr>
        <w:t xml:space="preserve">Zitiervorschlag: Art 102 AOEG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https://recht.nulegal.eu/gesetze/AOEG%201977/102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