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101 AOEG 1977 — Übergangsvorschrift zum Gesetz über den Informationsaustausch zwischen den Strafverfolgungsbehörden der Mitgliedstaaten der Europäischen Union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§ 383a der Abgabenordnung und § 11 der FATCA-USA-Umsetzungsverordnung in der am 14. Februar 2026 geltenden Fassung sind auf alle Handlungen oder Unterlassungen anzuwenden, die nach dem 13. Februar 2026 begangen werden.</w:t>
      </w:r>
    </w:p>
    <w:p>
      <w:r>
        <w:t xml:space="preserve">(2) § 379 Absatz 2 Nummer 1b der Abgabenordnung in der Fassung vom 18. Dezember 2013 und § 11 der FATCA-USA-Umsetzungsverordnung in der Fassung vom 29. Juli 2014 sind weiterhin anzuwenden, soweit die Handlungen oder Unterlassungen vor dem 14. Februar 2026 begangen wurden.</w:t>
      </w:r>
    </w:p>
    <w:p>
      <w:r>
        <w:rPr>
          <w:color w:val="555555"/>
          <w:sz w:val="17"/>
        </w:rPr>
        <w:t xml:space="preserve">Zitiervorschlag: Art 101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https://recht.nulegal.eu/gesetze/AOEG%201977/101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101 AOEG 1977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