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AO-GS (Nordrhein-Westfalen) — Unterricht, Stundentafel</w:t>
      </w:r>
    </w:p>
    <w:p>
      <w:r>
        <w:rPr>
          <w:color w:val="555555"/>
          <w:sz w:val="18"/>
        </w:rPr>
        <w:t xml:space="preserve">Ausbildungsordnung Grundschule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den Unterricht gelten die Stundentafel (Anlage) sowie die Unterrichtsvorgaben (§ 29 SchulG) des Ministeriums. Er ist fächerübergreifend auszurichten. Eine Unterrichtsstunde nach der Stundentafel wird mit 45 Minuten berechnet.</w:t>
      </w:r>
    </w:p>
    <w:p>
      <w:r>
        <w:t xml:space="preserve">(2) Für sonderpädagogisch geförderte Schülerinnen und Schüler gilt § 21 der Ausbildungsordnung sonderpädagogische Förderung vom 29. April 2005 (GV. NRW. S. 538, ber. S. 625) in der jeweils geltenden Fassung.</w:t>
      </w:r>
    </w:p>
    <w:p>
      <w:r>
        <w:t xml:space="preserve">(3) Schülerinnen und Schülern, deren Herkunftssprache nicht Deutsch ist, wird herkunftssprachlicher Unterricht angeboten, sofern entsprechender Unterricht zugelassen ist und die personellen Voraussetzungen vorliegen.</w:t>
      </w:r>
    </w:p>
    <w:p>
      <w:r>
        <w:t xml:space="preserve">(4) Die Schule für Circuskinder in Nordrhein-Westfalen der Evangelischen Kirche im Rheinland organisiert den Unterricht so, dass die Schullaufbahn mit den Lebensverhältnissen der Schülerinnen und Schüler vereinbar ist. Die schulische Bildung von Kindern aus Familien beruflich Reisender wird im Land Nordrhein-Westfalen durch Stammschulen und Stützpunktschulen gestaltet. Eine zusätzliche schulische Betreuung während der Reisezeiten erfolgt durch Bereichslehrkräfte.</w:t>
      </w:r>
    </w:p>
    <w:p>
      <w:r>
        <w:t xml:space="preserve">(5) Für die Laborschule Bielefeld des Landes Nordrhein-Westfalen an der Universität Bielefeld kann das Ministerium Abweichungen von den Regelungen dieser Verordnung zulassen.</w:t>
      </w:r>
    </w:p>
    <w:p>
      <w:r>
        <w:rPr>
          <w:color w:val="555555"/>
          <w:sz w:val="17"/>
        </w:rPr>
        <w:t xml:space="preserve">Zitiervorschlag: § 3 AO-GS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https://recht.nulegal.eu/gesetze/AO-GS/3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