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AO 1977 — Einnahme des Augenscheins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Führt die Finanzbehörde einen Augenschein durch, so ist das Ergebnis aktenkundig zu machen.</w:t>
      </w:r>
    </w:p>
    <w:p>
      <w:r>
        <w:t xml:space="preserve">(2) Bei der Einnahme des Augenscheins können Sachverständige zugezogen werden.</w:t>
      </w:r>
    </w:p>
    <w:p>
      <w:r>
        <w:rPr>
          <w:color w:val="555555"/>
          <w:sz w:val="17"/>
        </w:rPr>
        <w:t xml:space="preserve">Zitiervorschlag: § 98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