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97 AO 1977 — Vorlage von Urkunden</w:t>
      </w:r>
    </w:p>
    <w:p>
      <w:r>
        <w:rPr>
          <w:color w:val="555555"/>
          <w:sz w:val="18"/>
        </w:rPr>
        <w:t xml:space="preserve">Abgabenordnung</w:t>
      </w:r>
    </w:p>
    <w:p>
      <w:r>
        <w:rPr>
          <w:color w:val="555555"/>
          <w:sz w:val="18"/>
        </w:rPr>
        <w:t xml:space="preserve">Stand: 13.04.2025 (konsolidierte Textfassung, kein amtliches Inkrafttretensdatum)</w:t>
      </w:r>
    </w:p>
    <w:p>
      <w:r>
        <w:t xml:space="preserve">(1) Die Beteiligten und andere Personen haben der Finanzbehörde auf Verlangen Bücher, Aufzeichnungen, Geschäftspapiere und andere Urkunden zur Einsicht und Prüfung vorzulegen. Im Vorlageverlangen ist anzugeben, ob die Urkunden für die Besteuerung des zur Vorlage Aufgeforderten oder für die Besteuerung anderer Personen benötigt werden. § 93 Absatz 1 Satz 2 und 3 gilt entsprechend.</w:t>
      </w:r>
    </w:p>
    <w:p>
      <w:r>
        <w:t xml:space="preserve">(2) Die Finanzbehörde kann die Vorlage der in Absatz 1 genannten Urkunden an Amtsstelle verlangen oder sie bei dem Vorlagepflichtigen einsehen, wenn dieser einverstanden ist oder die Urkunden für eine Vorlage an Amtsstelle ungeeignet sind. § 147 Absatz 5 gilt entsprechend.</w:t>
      </w:r>
    </w:p>
    <w:p>
      <w:r>
        <w:rPr>
          <w:color w:val="555555"/>
          <w:sz w:val="17"/>
        </w:rPr>
        <w:t xml:space="preserve">Zitiervorschlag: § 97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https://recht.nulegal.eu/gesetze/AO%201977/97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