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93b AO 1977 — Automatisierter Abruf von Kontoinformationen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Kreditinstitute haben das nach § 24c Absatz 1 des Kreditwesengesetzes zu führende Dateisystem auch für Abrufe nach § 93 Absatz 7 und 8 zu führen.</w:t>
      </w:r>
    </w:p>
    <w:p>
      <w:r>
        <w:t xml:space="preserve">(1a) Kreditinstitute haben für Kontenabrufersuchen nach § 93 Absatz 7 oder 8 zusätzlich zu den in § 24c Absatz 1 des Kreditwesengesetzes bezeichneten Daten für jeden Verfügungsberechtigten und jeden wirtschaftlich Berechtigten im Sinne des Geldwäschegesetzes auch die Adressen sowie die in § 154 Absatz 2a bezeichneten Daten zu speichern. § 154 Absatz 2d und Artikel 97 § 26 Absatz 5 Nummer 3 und 4 des Einführungsgesetzes zur Abgabenordnung bleiben unberührt.</w:t>
      </w:r>
    </w:p>
    <w:p>
      <w:r>
        <w:t xml:space="preserve">(2) Das Bundeszentralamt für Steuern darf in den Fällen des § 93 Absatz 7 und 8 auf Ersuchen bei den Kreditinstituten einzelne Daten aus den nach den Absätzen 1 und 1a zu führenden Dateisystemen im automatisierten Verfahren abrufen und sie an den Ersuchenden übermitteln. Die Identifikationsnummer nach § 139b eines Verfügungsberechtigten oder eines wirtschaftlich Berechtigten darf das Bundeszentralamt für Steuern nur Finanzbehörden mitteilen.</w:t>
      </w:r>
    </w:p>
    <w:p>
      <w:r>
        <w:t xml:space="preserve">(3) Die Verantwortung für die Zulässigkeit des Datenabrufs und der Datenübermittlung trägt der Ersuchende.</w:t>
      </w:r>
    </w:p>
    <w:p>
      <w:r>
        <w:t xml:space="preserve">(4) § 24c Absatz 1 Satz 2 bis 6, Absatz 4 bis 8 des Kreditwesengesetzes gilt entsprechend.</w:t>
      </w:r>
    </w:p>
    <w:p>
      <w:r>
        <w:rPr>
          <w:color w:val="555555"/>
          <w:sz w:val="17"/>
        </w:rPr>
        <w:t xml:space="preserve">Zitiervorschlag: § 93b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https://recht.nulegal.eu/gesetze/AO%201977/93b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