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92 AO 1977 — Beweismittel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Die Finanzbehörde bedient sich der Beweismittel, die sie nach pflichtgemäßem Ermessen zur Ermittlung des Sachverhalts für erforderlich hält. Sie kann insbesondere</w:t>
      </w:r>
    </w:p>
    <w:p>
      <w:pPr>
        <w:ind w:left="420"/>
      </w:pPr>
      <w:r>
        <w:t xml:space="preserve">1. Auskünfte jeder Art von den Beteiligten und anderen Personen einholen,</w:t>
      </w:r>
    </w:p>
    <w:p>
      <w:pPr>
        <w:ind w:left="420"/>
      </w:pPr>
      <w:r>
        <w:t xml:space="preserve">2. Sachverständige zuziehen,</w:t>
      </w:r>
    </w:p>
    <w:p>
      <w:pPr>
        <w:ind w:left="420"/>
      </w:pPr>
      <w:r>
        <w:t xml:space="preserve">3. Urkunden und Akten beiziehen,</w:t>
      </w:r>
    </w:p>
    <w:p>
      <w:pPr>
        <w:ind w:left="420"/>
      </w:pPr>
      <w:r>
        <w:t xml:space="preserve">4. den Augenschein einnehmen.</w:t>
      </w:r>
    </w:p>
    <w:p>
      <w:r>
        <w:rPr>
          <w:color w:val="555555"/>
          <w:sz w:val="17"/>
        </w:rPr>
        <w:t xml:space="preserve">Zitiervorschlag: § 92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https://recht.nulegal.eu/gesetze/AO%201977/92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