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88b AO 1977 — Länderübergreifender Abruf und Verwendung von Daten zur Verhütung, Ermittlung und Verfolgung von Steuerverkürzungen</w:t>
      </w:r>
    </w:p>
    <w:p>
      <w:r>
        <w:rPr>
          <w:color w:val="555555"/>
          <w:sz w:val="18"/>
        </w:rPr>
        <w:t xml:space="preserve">Abgabenordnung</w:t>
      </w:r>
    </w:p>
    <w:p>
      <w:r>
        <w:rPr>
          <w:color w:val="555555"/>
          <w:sz w:val="18"/>
        </w:rPr>
        <w:t xml:space="preserve">Stand: 13.04.2025 (konsolidierte Textfassung, kein amtliches Inkrafttretensdatum)</w:t>
      </w:r>
    </w:p>
    <w:p>
      <w:r>
        <w:t xml:space="preserve">(1) Für Zwecke eines Verwaltungsverfahrens in Steuersachen, eines Strafverfahrens wegen einer Steuerstraftat oder eines Bußgeldverfahrens wegen einer Steuerordnungswidrigkeit von Finanzbehörden gespeicherte Daten dürfen zum gegenseitigen Datenabruf bereitgestellt und dann von den zuständigen Finanzbehörden zur Verhütung, Ermittlung oder Verfolgung von</w:t>
      </w:r>
    </w:p>
    <w:p>
      <w:pPr>
        <w:ind w:left="420"/>
      </w:pPr>
      <w:r>
        <w:t xml:space="preserve">1. länderübergreifenden Steuerverkürzungen,</w:t>
      </w:r>
    </w:p>
    <w:p>
      <w:pPr>
        <w:ind w:left="420"/>
      </w:pPr>
      <w:r>
        <w:t xml:space="preserve">2. Steuerverkürzungen von internationaler Bedeutung oder</w:t>
      </w:r>
    </w:p>
    <w:p>
      <w:pPr>
        <w:ind w:left="420"/>
      </w:pPr>
      <w:r>
        <w:t xml:space="preserve">3. Steuerverkürzungen von erheblicher Bedeutung</w:t>
      </w:r>
    </w:p>
    <w:p>
      <w:r>
        <w:t xml:space="preserve">untereinander abgerufen, im Wege des automatisierten Datenabgleichs überprüft, verwendet und gespeichert werden, auch soweit sie durch § 30 geschützt sind.</w:t>
      </w:r>
    </w:p>
    <w:p>
      <w:r>
        <w:t xml:space="preserve">(2) Auswertungsergebnisse nach Absatz 1 sind den jeweils betroffenen zuständigen Finanzbehörden elektronisch zur Verfügung zu stellen.</w:t>
      </w:r>
    </w:p>
    <w:p>
      <w:r>
        <w:t xml:space="preserve">(3) Durch Rechtsverordnung der jeweils zuständigen Landesregierung wird bestimmt, welche Finanzbehörden auf Landesebene für die in den Absätzen 1 und 2 genannten Tätigkeiten zuständig sind. Die Landesregierung kann diese Verpflichtung durch Rechtsverordnung auf die für die Finanzverwaltung zuständige oberste Landesbehörde übertragen.</w:t>
      </w:r>
    </w:p>
    <w:p>
      <w:r>
        <w:rPr>
          <w:color w:val="555555"/>
          <w:sz w:val="17"/>
        </w:rPr>
        <w:t xml:space="preserve">Zitiervorschlag: § 88b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https://recht.nulegal.eu/gesetze/AO%201977/88b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