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AO 1977 — Besteuerungsgrundsätze</w:t>
      </w:r>
    </w:p>
    <w:p>
      <w:r>
        <w:rPr>
          <w:color w:val="555555"/>
          <w:sz w:val="18"/>
        </w:rPr>
        <w:t xml:space="preserve">Abgabenordnung</w:t>
      </w:r>
    </w:p>
    <w:p>
      <w:r>
        <w:rPr>
          <w:color w:val="555555"/>
          <w:sz w:val="18"/>
        </w:rPr>
        <w:t xml:space="preserve">Stand: 13.04.2025 (konsolidierte Textfassung, kein amtliches Inkrafttretensdatum)</w:t>
      </w:r>
    </w:p>
    <w:p>
      <w:r>
        <w:t xml:space="preserve">Die Finanzbehörden haben die Steuern nach Maßgabe der Gesetze gleichmäßig festzusetzen und zu erheben. Insbesondere haben sie sicherzustellen, dass Steuern nicht verkürzt, zu Unrecht erhoben oder Steuererstattungen und Steuervergütungen nicht zu Unrecht gewährt oder versagt werden.</w:t>
      </w:r>
    </w:p>
    <w:p>
      <w:r>
        <w:rPr>
          <w:color w:val="555555"/>
          <w:sz w:val="17"/>
        </w:rPr>
        <w:t xml:space="preserve">Zitiervorschlag: § 85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