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83 AO 1977 — Besorgnis der Befangenheit</w:t>
      </w:r>
    </w:p>
    <w:p>
      <w:r>
        <w:rPr>
          <w:color w:val="555555"/>
          <w:sz w:val="18"/>
        </w:rPr>
        <w:t xml:space="preserve">Abgabenordnung</w:t>
      </w:r>
    </w:p>
    <w:p>
      <w:r>
        <w:rPr>
          <w:color w:val="555555"/>
          <w:sz w:val="18"/>
        </w:rPr>
        <w:t xml:space="preserve">Stand: 13.04.2025 (konsolidierte Textfassung, kein amtliches Inkrafttretensdatum)</w:t>
      </w:r>
    </w:p>
    <w:p>
      <w:r>
        <w:t xml:space="preserve">(1) Liegt ein Grund vor, der geeignet ist, Misstrauen gegen die Unparteilichkeit des Amtsträgers zu rechtfertigen oder wird von einem Beteiligten das Vorliegen eines solchen Grundes behauptet, so hat der Amtsträger den Leiter der Behörde oder den von ihm Beauftragten zu unterrichten und sich auf dessen Anordnung der Mitwirkung zu enthalten. Betrifft die Besorgnis der Befangenheit den Leiter der Behörde, so trifft diese Anordnung die Aufsichtsbehörde, sofern sich der Behördenleiter nicht selbst einer Mitwirkung enthält.</w:t>
      </w:r>
    </w:p>
    <w:p>
      <w:r>
        <w:t xml:space="preserve">(2) Bei Mitgliedern eines Ausschusses ist sinngemäß nach § 82 Absatz 3 zu verfahren.</w:t>
      </w:r>
    </w:p>
    <w:p>
      <w:r>
        <w:rPr>
          <w:color w:val="555555"/>
          <w:sz w:val="17"/>
        </w:rPr>
        <w:t xml:space="preserve">Zitiervorschlag: § 83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https://recht.nulegal.eu/gesetze/AO%201977/83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