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AO 1977 — Beteiligte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Beteiligte sind</w:t>
      </w:r>
    </w:p>
    <w:p>
      <w:pPr>
        <w:ind w:left="420"/>
      </w:pPr>
      <w:r>
        <w:t xml:space="preserve">1. Antragsteller und Antragsgegner,</w:t>
      </w:r>
    </w:p>
    <w:p>
      <w:pPr>
        <w:ind w:left="420"/>
      </w:pPr>
      <w:r>
        <w:t xml:space="preserve">2. diejenigen, an die die Finanzbehörde den Verwaltungsakt richten will oder gerichtet hat,</w:t>
      </w:r>
    </w:p>
    <w:p>
      <w:pPr>
        <w:ind w:left="420"/>
      </w:pPr>
      <w:r>
        <w:t xml:space="preserve">3. diejenigen, mit denen die Finanzbehörde einen öffentlich-rechtlichen Vertrag schließen will oder geschlossen hat.</w:t>
      </w:r>
    </w:p>
    <w:p>
      <w:r>
        <w:rPr>
          <w:color w:val="555555"/>
          <w:sz w:val="17"/>
        </w:rPr>
        <w:t xml:space="preserve">Zitiervorschlag: § 78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