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AO 1977 — Amtsträger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Amtsträger ist, wer nach deutschem Recht</w:t>
      </w:r>
    </w:p>
    <w:p>
      <w:pPr>
        <w:ind w:left="420"/>
      </w:pPr>
      <w:r>
        <w:t xml:space="preserve">1. Beamter oder Richter (§ 11 Absatz 1 Nummer 3 des Strafgesetzbuchs) ist,</w:t>
      </w:r>
    </w:p>
    <w:p>
      <w:pPr>
        <w:ind w:left="420"/>
      </w:pPr>
      <w:r>
        <w:t xml:space="preserve">2. in einem sonstigen öffentlich-rechtlichen Amtsverhältnis steht oder</w:t>
      </w:r>
    </w:p>
    <w:p>
      <w:pPr>
        <w:ind w:left="420"/>
      </w:pPr>
      <w:r>
        <w:t xml:space="preserve">3. sonst dazu bestellt ist, bei einer Behörde oder bei einer sonstigen öffentlichen Stelle oder in deren Auftrag Aufgaben der öffentlichen Verwaltung wahrzunehmen.</w:t>
      </w:r>
    </w:p>
    <w:p>
      <w:r>
        <w:rPr>
          <w:color w:val="555555"/>
          <w:sz w:val="17"/>
        </w:rPr>
        <w:t xml:space="preserve">Zitiervorschlag: § 7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