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58a AO 1977 — Vertrauensschutz bei Mittelweitergaben</w:t>
      </w:r>
    </w:p>
    <w:p>
      <w:r>
        <w:rPr>
          <w:color w:val="555555"/>
          <w:sz w:val="18"/>
        </w:rPr>
        <w:t xml:space="preserve">Abgabenordnung</w:t>
      </w:r>
    </w:p>
    <w:p>
      <w:r>
        <w:rPr>
          <w:color w:val="555555"/>
          <w:sz w:val="18"/>
        </w:rPr>
        <w:t xml:space="preserve">Stand: 13.04.2025 (konsolidierte Textfassung, kein amtliches Inkrafttretensdatum)</w:t>
      </w:r>
    </w:p>
    <w:p>
      <w:r>
        <w:t xml:space="preserve">(1) Wendet eine steuerbegünstigte Körperschaft Mittel einer anderen Körperschaft zu, darf sie unter den Voraussetzungen des Absatzes 2 darauf vertrauen, dass die empfangende Körperschaft</w:t>
      </w:r>
    </w:p>
    <w:p>
      <w:pPr>
        <w:ind w:left="420"/>
      </w:pPr>
      <w:r>
        <w:t xml:space="preserve">1. nach § 5 Absatz 1 Nummer 9 des Körperschaftsteuergesetzes im Zeitpunkt der Zuwendung steuerbegünstigt ist und</w:t>
      </w:r>
    </w:p>
    <w:p>
      <w:pPr>
        <w:ind w:left="420"/>
      </w:pPr>
      <w:r>
        <w:t xml:space="preserve">2. die Zuwendung für steuerbegünstigte Zwecke verwendet.</w:t>
      </w:r>
    </w:p>
    <w:p>
      <w:r>
        <w:t xml:space="preserve">(2) Das Vertrauen der zuwendenden Körperschaft nach Absatz 1 ist nur schutzwürdig, wenn sich die zuwendende Körperschaft zum Zeitpunkt der Zuwendung die Steuerbegünstigung der empfangenden Körperschaft nach § 5 Absatz 1 Nummer 9 des Körperschaftsteuergesetzes hat nachweisen lassen durch eine Ausfertigung</w:t>
      </w:r>
    </w:p>
    <w:p>
      <w:pPr>
        <w:ind w:left="420"/>
      </w:pPr>
      <w:r>
        <w:t xml:space="preserve">1. der Anlage zum Körperschaftsteuerbescheid, deren Datum nicht länger als fünf Jahre zurückliegt oder</w:t>
      </w:r>
    </w:p>
    <w:p>
      <w:pPr>
        <w:ind w:left="420"/>
      </w:pPr>
      <w:r>
        <w:t xml:space="preserve">2. des Freistellungsbescheids, dessen Datum nicht länger als fünf Jahre zurückliegt oder</w:t>
      </w:r>
    </w:p>
    <w:p>
      <w:pPr>
        <w:ind w:left="420"/>
      </w:pPr>
      <w:r>
        <w:t xml:space="preserve">3. des Bescheids über die Feststellung der Einhaltung der satzungsmäßigen Voraussetzungen nach § 60a Absatz 1, dessen Datum nicht länger als drei Jahre zurückliegt, wenn der empfangenden Körperschaft bisher kein Freistellungsbescheid oder keine Anlage zum Körperschaftsteuerbescheid erteilt wurde.</w:t>
      </w:r>
    </w:p>
    <w:p>
      <w:r>
        <w:t xml:space="preserve">(3) Absatz 1 ist nicht anzuwenden, wenn</w:t>
      </w:r>
    </w:p>
    <w:p>
      <w:pPr>
        <w:ind w:left="420"/>
      </w:pPr>
      <w:r>
        <w:t xml:space="preserve">1. der zuwendenden Körperschaft die Unrichtigkeit eines Verwaltungsakts nach Absatz 2 bekannt ist oder infolge grober Fahrlässigkeit nicht bekannt war oder</w:t>
      </w:r>
    </w:p>
    <w:p>
      <w:pPr>
        <w:ind w:left="420"/>
      </w:pPr>
      <w:r>
        <w:t xml:space="preserve">2. die zuwendende Körperschaft eine Verwendung für nicht steuerbegünstigte Zwecke durch die empfangende Körperschaft veranlasst hat.</w:t>
      </w:r>
    </w:p>
    <w:p>
      <w:r>
        <w:rPr>
          <w:color w:val="555555"/>
          <w:sz w:val="17"/>
        </w:rPr>
        <w:t xml:space="preserve">Zitiervorschlag: § 58a AO 1977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https://recht.nulegal.eu/gesetze/AO%201977/58a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