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AO 1977 — Allgemeines</w:t>
      </w:r>
    </w:p>
    <w:p>
      <w:r>
        <w:rPr>
          <w:color w:val="555555"/>
          <w:sz w:val="18"/>
        </w:rPr>
        <w:t xml:space="preserve">Abgabenordnung</w:t>
      </w:r>
    </w:p>
    <w:p>
      <w:r>
        <w:rPr>
          <w:color w:val="555555"/>
          <w:sz w:val="18"/>
        </w:rPr>
        <w:t xml:space="preserve">Stand: 13.04.2025 (konsolidierte Textfassung, kein amtliches Inkrafttretensdatum)</w:t>
      </w:r>
    </w:p>
    <w:p>
      <w:r>
        <w:t xml:space="preserve">(1) Gewährt das Gesetz eine Steuervergünstigung, weil eine Körperschaft ausschließlich und unmittelbar gemeinnützige, mildtätige oder kirchliche Zwecke (steuerbegünstigte Zwecke) verfolgt, so gelten die folgenden Vorschriften. Unter Körperschaften sind die Körperschaften, Personenvereinigungen und Vermögensmassen im Sinne des Körperschaftsteuergesetzes zu verstehen. Funktionale Untergliederungen (Abteilungen) von Körperschaften gelten nicht als selbstständige Steuersubjekte.</w:t>
      </w:r>
    </w:p>
    <w:p>
      <w:r>
        <w:t xml:space="preserve">(2) Werden die steuerbegünstigten Zwecke im Ausland verwirklicht, setzt die Steuervergünstigung voraus, dass natürliche Personen, die ihren Wohnsitz oder ihren gewöhnlichen Aufenthalt im Geltungsbereich dieses Gesetzes haben, gefördert werden oder die Tätigkeit der Körperschaft neben der Verwirklichung der steuerbegünstigten Zwecke auch zum Ansehen der Bundesrepublik Deutschland im Ausland beitragen kann.</w:t>
      </w:r>
    </w:p>
    <w:p>
      <w:r>
        <w:t xml:space="preserve">(3) Eine Steuervergünstigung setzt zudem voraus, dass die Körperschaft nach ihrer Satzung und bei ihrer tatsächlichen Geschäftsführung keine Bestrebungen im Sinne des § 4 des Bundesverfassungsschutzgesetzes fördert und dem Gedanken der Völkerverständigung nicht zuwiderhandelt. Bei Körperschaften, die im Verfassungsschutzbericht des Bundes oder eines Landes als extremistische Organisation aufgeführt sind, ist widerlegbar davon auszugehen, dass die Voraussetzungen des Satzes 1 nicht erfüllt sind. Die Finanzbehörde teilt Tatsachen, die den Verdacht von Bestrebungen im Sinne des § 4 des Bundesverfassungsschutzgesetzes oder des Zuwiderhandelns gegen den Gedanken der Völkerverständigung begründen, der Verfassungsschutzbehörde mit.</w:t>
      </w:r>
    </w:p>
    <w:p>
      <w:r>
        <w:rPr>
          <w:color w:val="555555"/>
          <w:sz w:val="17"/>
        </w:rPr>
        <w:t xml:space="preserve">Zitiervorschlag: § 51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