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AO 1977 — Gesamtrechtsnachfolge</w:t>
      </w:r>
    </w:p>
    <w:p>
      <w:r>
        <w:rPr>
          <w:color w:val="555555"/>
          <w:sz w:val="18"/>
        </w:rPr>
        <w:t xml:space="preserve">Abgabenordnung</w:t>
      </w:r>
    </w:p>
    <w:p>
      <w:r>
        <w:rPr>
          <w:color w:val="555555"/>
          <w:sz w:val="18"/>
        </w:rPr>
        <w:t xml:space="preserve">Stand: 13.04.2025 (konsolidierte Textfassung, kein amtliches Inkrafttretensdatum)</w:t>
      </w:r>
    </w:p>
    <w:p>
      <w:r>
        <w:t xml:space="preserve">(1) Bei Gesamtrechtsnachfolge gehen die Forderungen und Schulden aus dem Steuerschuldverhältnis auf den Rechtsnachfolger über. Dies gilt jedoch bei der Erbfolge nicht für Zwangsgelder.</w:t>
      </w:r>
    </w:p>
    <w:p>
      <w:r>
        <w:t xml:space="preserve">(2) Erben haben für die aus dem Nachlass zu entrichtenden Schulden nach den Vorschriften des bürgerlichen Rechts über die Haftung des Erben für Nachlassverbindlichkeiten einzustehen. Vorschriften, durch die eine steuerrechtliche Haftung der Erben begründet wird, bleiben unberührt.</w:t>
      </w:r>
    </w:p>
    <w:p>
      <w:r>
        <w:rPr>
          <w:color w:val="555555"/>
          <w:sz w:val="17"/>
        </w:rPr>
        <w:t xml:space="preserve">Zitiervorschlag: § 45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