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412 AO 1977 — Zustellung, Vollstreckung, Kosten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Für das Zustellungsverfahren gelten abweichend von § 51 Absatz 1 Satz 1 des Gesetzes über Ordnungswidrigkeiten die Vorschriften des Verwaltungszustellungsgesetzes auch dann, wenn eine Landesfinanzbehörde den Bescheid erlassen hat. § 51 Absatz 1 Satz 2 und Absatz 2 bis 5 des Gesetzes über Ordnungswidrigkeiten bleibt unberührt.</w:t>
      </w:r>
    </w:p>
    <w:p>
      <w:r>
        <w:t xml:space="preserve">(2) Für die Vollstreckung von Bescheiden der Finanzbehörden in Bußgeldverfahren gelten abweichend von § 90 Absatz 1 und 4, § 108 Absatz 2 des Gesetzes über Ordnungswidrigkeiten die Vorschriften des Sechsten Teils dieses Gesetzes. Die übrigen Vorschriften des Neunten Abschnitts des Zweiten Teils des Gesetzes über Ordnungswidrigkeiten bleiben unberührt.</w:t>
      </w:r>
    </w:p>
    <w:p>
      <w:r>
        <w:t xml:space="preserve">(3) Für die Kosten des Bußgeldverfahrens gilt § 107 Absatz 4 des Gesetzes über Ordnungswidrigkeiten auch dann, wenn eine Landesfinanzbehörde den Bußgeldbescheid erlassen hat; an Stelle des § 19 des Verwaltungskostengesetzes in der bis zum 14. August 2013 geltenden Fassung gelten § 227 und § 261 dieses Gesetzes.</w:t>
      </w:r>
    </w:p>
    <w:p>
      <w:r>
        <w:rPr>
          <w:color w:val="555555"/>
          <w:sz w:val="17"/>
        </w:rPr>
        <w:t xml:space="preserve">Zitiervorschlag: § 412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https://recht.nulegal.eu/gesetze/AO%201977/412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