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411 AO 1977 — Bußgeldverfahren gegen Rechtsanwälte, Steuerberater, Steuerbevollmächtigte, Wirtschaftsprüfer oder vereidigte Buchprüfer</w:t>
      </w:r>
    </w:p>
    <w:p>
      <w:r>
        <w:rPr>
          <w:color w:val="555555"/>
          <w:sz w:val="18"/>
        </w:rPr>
        <w:t xml:space="preserve">Abgabenordnung</w:t>
      </w:r>
    </w:p>
    <w:p>
      <w:r>
        <w:rPr>
          <w:color w:val="555555"/>
          <w:sz w:val="18"/>
        </w:rPr>
        <w:t xml:space="preserve">Stand: 13.04.2025 (konsolidierte Textfassung, kein amtliches Inkrafttretensdatum)</w:t>
      </w:r>
    </w:p>
    <w:p>
      <w:r>
        <w:t xml:space="preserve">Bevor gegen einen Rechtsanwalt, Steuerberater, Steuerbevollmächtigten, Wirtschaftsprüfer oder vereidigten Buchprüfer wegen einer Steuerordnungswidrigkeit, die er in Ausübung seines Berufs bei der Beratung in Steuersachen begangen hat, ein Bußgeldbescheid erlassen wird, gibt die Finanzbehörde der zuständigen Berufskammer Gelegenheit, die Gesichtspunkte vorzubringen, die von ihrem Standpunkt für die Entscheidung von Bedeutung sind.</w:t>
      </w:r>
    </w:p>
    <w:p>
      <w:r>
        <w:rPr>
          <w:color w:val="555555"/>
          <w:sz w:val="17"/>
        </w:rPr>
        <w:t xml:space="preserve">Zitiervorschlag: § 411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https://recht.nulegal.eu/gesetze/AO%201977/411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