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408 AO 1977 — Kosten des Verfahrens</w:t>
      </w:r>
    </w:p>
    <w:p>
      <w:r>
        <w:rPr>
          <w:color w:val="555555"/>
          <w:sz w:val="18"/>
        </w:rPr>
        <w:t xml:space="preserve">Abgabenordnung</w:t>
      </w:r>
    </w:p>
    <w:p>
      <w:r>
        <w:rPr>
          <w:color w:val="555555"/>
          <w:sz w:val="18"/>
        </w:rPr>
        <w:t xml:space="preserve">Stand: 13.04.2025 (konsolidierte Textfassung, kein amtliches Inkrafttretensdatum)</w:t>
      </w:r>
    </w:p>
    <w:p>
      <w:r>
        <w:t xml:space="preserve">Notwendige Auslagen eines Beteiligten im Sinne des § 464a Absatz 2 Nummer 2 der Strafprozessordnung sind im Strafverfahren wegen einer Steuerstraftat auch die gesetzlichen Gebühren und Auslagen eines Steuerberaters, Steuerbevollmächtigten, Wirtschaftsprüfers oder vereidigten Buchprüfers. Sind Gebühren und Auslagen gesetzlich nicht geregelt, so können sie bis zur Höhe der gesetzlichen Gebühren und Auslagen eines Rechtsanwalts erstattet werden.</w:t>
      </w:r>
    </w:p>
    <w:p>
      <w:r>
        <w:rPr>
          <w:color w:val="555555"/>
          <w:sz w:val="17"/>
        </w:rPr>
        <w:t xml:space="preserve">Zitiervorschlag: § 408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https://recht.nulegal.eu/gesetze/AO%201977/408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