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402 AO 1977 — Allgemeine Rechte und Pflichten der Finanzbehörde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Führt die Staatsanwaltschaft das Ermittlungsverfahren durch, so hat die sonst zuständige Finanzbehörde dieselben Rechte und Pflichten wie die Behörden des Polizeidienstes nach der Strafprozessordnung sowie die Befugnisse nach § 399 Absatz 2 Satz 2.</w:t>
      </w:r>
    </w:p>
    <w:p>
      <w:r>
        <w:t xml:space="preserve">(2) Ist einer Finanzbehörde nach § 387 Absatz 2 die Zuständigkeit für den Bereich mehrerer Finanzbehörden übertragen, so gilt Absatz 1 für jede dieser Finanzbehörden.</w:t>
      </w:r>
    </w:p>
    <w:p>
      <w:r>
        <w:rPr>
          <w:color w:val="555555"/>
          <w:sz w:val="17"/>
        </w:rPr>
        <w:t xml:space="preserve">Zitiervorschlag: § 402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https://recht.nulegal.eu/gesetze/AO%201977/402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