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400 AO 1977 — Antrag auf Erlass eines Strafbefehls</w:t>
      </w:r>
    </w:p>
    <w:p>
      <w:r>
        <w:rPr>
          <w:color w:val="555555"/>
          <w:sz w:val="18"/>
        </w:rPr>
        <w:t xml:space="preserve">Abgabenordnung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Bieten die Ermittlungen genügenden Anlass zur Erhebung der öffentlichen Klage, so beantragt die Finanzbehörde beim Richter den Erlass eines Strafbefehls, wenn die Strafsache zur Behandlung im Strafbefehlsverfahren geeignet erscheint; ist dies nicht der Fall, so legt die Finanzbehörde die Akten der Staatsanwaltschaft vor.</w:t>
      </w:r>
    </w:p>
    <w:p>
      <w:r>
        <w:rPr>
          <w:color w:val="555555"/>
          <w:sz w:val="17"/>
        </w:rPr>
        <w:t xml:space="preserve">Zitiervorschlag: § 400 AO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https://recht.nulegal.eu/gesetze/AO%201977/400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400 AO 1977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