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AO 1977 — Gesetz- oder sittenwidriges Handeln</w:t>
      </w:r>
    </w:p>
    <w:p>
      <w:r>
        <w:rPr>
          <w:color w:val="555555"/>
          <w:sz w:val="18"/>
        </w:rPr>
        <w:t xml:space="preserve">Abgabenordnung</w:t>
      </w:r>
    </w:p>
    <w:p>
      <w:r>
        <w:rPr>
          <w:color w:val="555555"/>
          <w:sz w:val="18"/>
        </w:rPr>
        <w:t xml:space="preserve">Stand: 13.04.2025 (konsolidierte Textfassung, kein amtliches Inkrafttretensdatum)</w:t>
      </w:r>
    </w:p>
    <w:p>
      <w:r>
        <w:t xml:space="preserve">Für die Besteuerung ist es unerheblich, ob ein Verhalten, das den Tatbestand eines Steuergesetzes ganz oder zum Teil erfüllt, gegen ein gesetzliches Gebot oder Verbot oder gegen die guten Sitten verstößt.</w:t>
      </w:r>
    </w:p>
    <w:p>
      <w:r>
        <w:rPr>
          <w:color w:val="555555"/>
          <w:sz w:val="17"/>
        </w:rPr>
        <w:t xml:space="preserve">Zitiervorschlag: § 40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