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397 AO 1977 — Einleitung des Strafverfahrens</w:t>
      </w:r>
    </w:p>
    <w:p>
      <w:r>
        <w:rPr>
          <w:color w:val="555555"/>
          <w:sz w:val="18"/>
        </w:rPr>
        <w:t xml:space="preserve">Abgabenordnung</w:t>
      </w:r>
    </w:p>
    <w:p>
      <w:r>
        <w:rPr>
          <w:color w:val="555555"/>
          <w:sz w:val="18"/>
        </w:rPr>
        <w:t xml:space="preserve">Stand: 13.04.2025 (konsolidierte Textfassung, kein amtliches Inkrafttretensdatum)</w:t>
      </w:r>
    </w:p>
    <w:p>
      <w:r>
        <w:t xml:space="preserve">(1) Das Strafverfahren ist eingeleitet, sobald die Finanzbehörde, die Polizei, die Staatsanwaltschaft, eine ihrer Ermittlungspersonen oder der Strafrichter eine Maßnahme trifft, die erkennbar darauf abzielt, gegen jemanden wegen einer Steuerstraftat strafrechtlich vorzugehen.</w:t>
      </w:r>
    </w:p>
    <w:p>
      <w:r>
        <w:t xml:space="preserve">(2) Die Maßnahme ist unter Angabe des Zeitpunkts unverzüglich in den Akten zu vermerken.</w:t>
      </w:r>
    </w:p>
    <w:p>
      <w:r>
        <w:t xml:space="preserve">(3) Die Einleitung des Strafverfahrens ist dem Beschuldigten spätestens mitzuteilen, wenn er dazu aufgefordert wird, Tatsachen darzulegen oder Unterlagen vorzulegen, die im Zusammenhang mit der Straftat stehen, derer er verdächtig ist.</w:t>
      </w:r>
    </w:p>
    <w:p>
      <w:r>
        <w:rPr>
          <w:color w:val="555555"/>
          <w:sz w:val="17"/>
        </w:rPr>
        <w:t xml:space="preserve">Zitiervorschlag: § 397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https://recht.nulegal.eu/gesetze/AO%201977/397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