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391 AO 1977 — Zuständiges Gericht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Ist das Amtsgericht sachlich zuständig, so ist örtlich zuständig das Amtsgericht, in dessen Bezirk das Landgericht seinen Sitz hat. Im vorbereitenden Verfahren gilt dies, unbeschadet einer weitergehenden Regelung nach § 58 Absatz 1 des Gerichtsverfassungsgesetzes, nur für die Zustimmung des Gerichts nach § 153 Absatz 1 und § 153a Absatz 1 der Strafprozessordnung.</w:t>
      </w:r>
    </w:p>
    <w:p>
      <w:r>
        <w:t xml:space="preserve">(2) Die Landesregierung kann durch Rechtsverordnung die Zuständigkeit abweichend von Absatz 1 Satz 1 regeln, soweit dies mit Rücksicht auf die Wirtschafts- oder Verkehrsverhältnisse, den Aufbau der Verwaltungsbehörden oder andere örtliche Bedürfnisse zweckmäßig erscheint. Die Landesregierung kann diese Ermächtigung auf die Landesjustizverwaltung übertragen.</w:t>
      </w:r>
    </w:p>
    <w:p>
      <w:r>
        <w:t xml:space="preserve">(3) Strafsachen wegen Steuerstraftaten sollen beim Amtsgericht einer bestimmten Abteilung zugewiesen werden.</w:t>
      </w:r>
    </w:p>
    <w:p>
      <w:r>
        <w:t xml:space="preserve">(4) Die Absätze 1 bis 3 gelten auch, wenn das Verfahren nicht nur Steuerstraftaten zum Gegenstand hat; sie gelten jedoch nicht, wenn dieselbe Handlung eine Straftat nach dem Betäubungsmittelgesetz darstellt, und nicht für Steuerstraftaten, welche die Kraftfahrzeugsteuer betreffen.</w:t>
      </w:r>
    </w:p>
    <w:p>
      <w:r>
        <w:rPr>
          <w:color w:val="555555"/>
          <w:sz w:val="17"/>
        </w:rPr>
        <w:t xml:space="preserve">Zitiervorschlag: § 391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https://recht.nulegal.eu/gesetze/AO%201977/391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