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390 AO 1977 — Mehrfache Zuständigkeit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Sind nach den §§ 387 bis 389 mehrere Finanzbehörden zuständig, so gebührt der Vorzug der Finanzbehörde, die wegen der Tat zuerst ein Strafverfahren eingeleitet hat.</w:t>
      </w:r>
    </w:p>
    <w:p>
      <w:r>
        <w:t xml:space="preserve">(2) Auf Ersuchen dieser Finanzbehörde hat eine andere zuständige Finanzbehörde die Strafsache zu übernehmen, wenn dies für die Ermittlungen sachdienlich erscheint. In Zweifelsfällen entscheidet die Behörde, der die ersuchte Finanzbehörde untersteht.</w:t>
      </w:r>
    </w:p>
    <w:p>
      <w:r>
        <w:rPr>
          <w:color w:val="555555"/>
          <w:sz w:val="17"/>
        </w:rPr>
        <w:t xml:space="preserve">Zitiervorschlag: § 390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https://recht.nulegal.eu/gesetze/AO%201977/390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