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384 AO 1977 — Verfolgungsverjährung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Die Verfolgung von Steuerordnungswidrigkeiten nach den §§ 378 bis 380 und § 383a verjährt in fünf Jahren.</w:t>
      </w:r>
    </w:p>
    <w:p>
      <w:r>
        <w:rPr>
          <w:color w:val="555555"/>
          <w:sz w:val="17"/>
        </w:rPr>
        <w:t xml:space="preserve">Zitiervorschlag: § 384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