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382 AO 1977 — Gefährdung der Einfuhr- und Ausfuhrabgaben</w:t>
      </w:r>
    </w:p>
    <w:p>
      <w:r>
        <w:rPr>
          <w:color w:val="555555"/>
          <w:sz w:val="18"/>
        </w:rPr>
        <w:t xml:space="preserve">Abgabenordnung</w:t>
      </w:r>
    </w:p>
    <w:p>
      <w:r>
        <w:rPr>
          <w:color w:val="555555"/>
          <w:sz w:val="18"/>
        </w:rPr>
        <w:t xml:space="preserve">Stand: 13.04.2025 (konsolidierte Textfassung, kein amtliches Inkrafttretensdatum)</w:t>
      </w:r>
    </w:p>
    <w:p>
      <w:r>
        <w:t xml:space="preserve">(1) Ordnungswidrig handelt, wer als Pflichtiger oder bei der Wahrnehmung der Angelegenheiten eines Pflichtigen vorsätzlich oder fahrlässig Zollvorschriften, den dazu erlassenen Rechtsverordnungen oder den Verordnungen des Rates der Europäischen Union oder der Europäischen Kommission zuwiderhandelt, die</w:t>
      </w:r>
    </w:p>
    <w:p>
      <w:pPr>
        <w:ind w:left="420"/>
      </w:pPr>
      <w:r>
        <w:t xml:space="preserve">1. für die zollamtliche Erfassung des Warenverkehrs über die Grenze des Zollgebiets der Europäischen Union sowie über die Freizonengrenzen,</w:t>
      </w:r>
    </w:p>
    <w:p>
      <w:pPr>
        <w:ind w:left="420"/>
      </w:pPr>
      <w:r>
        <w:t xml:space="preserve">2. für die Überführung von Waren in ein Zollverfahren und dessen Durchführung oder für die Erlangung einer sonstigen zollrechtlichen Bestimmung von Waren,</w:t>
      </w:r>
    </w:p>
    <w:p>
      <w:pPr>
        <w:ind w:left="420"/>
      </w:pPr>
      <w:r>
        <w:t xml:space="preserve">3. für die Freizonen, den grenznahen Raum sowie die darüber hinaus der Grenzaufsicht unterworfenen Gebiete</w:t>
      </w:r>
    </w:p>
    <w:p>
      <w:r>
        <w:t xml:space="preserve">gelten, soweit die Zollvorschriften, die dazu oder die auf Grund von Absatz 4 erlassenen Rechtsverordnungen für einen bestimmten Tatbestand auf diese Bußgeldvorschrift verweisen.</w:t>
      </w:r>
    </w:p>
    <w:p>
      <w:r>
        <w:t xml:space="preserve">(2) Absatz 1 ist auch anzuwenden, soweit die Zollvorschriften und die dazu erlassenen Rechtsverordnungen für Verbrauchsteuern sinngemäß gelten.</w:t>
      </w:r>
    </w:p>
    <w:p>
      <w:r>
        <w:t xml:space="preserve">(3) Die Ordnungswidrigkeit kann mit einer Geldbuße bis zu fünftausend Euro geahndet werden, wenn die Handlung nicht nach § 378 geahndet werden kann.</w:t>
      </w:r>
    </w:p>
    <w:p>
      <w:r>
        <w:t xml:space="preserve">(4) Das Bundesministerium der Finanzen kann durch Rechtsverordnungen die Tatbestände der Verordnungen des Rates der Europäischen Union oder der Europäischen Kommission, die nach den Absätzen 1 bis 3 als Ordnungswidrigkeiten mit Geldbuße geahndet werden können, bezeichnen, soweit dies zur Durchführung dieser Rechtsvorschriften erforderlich ist und die Tatbestände Pflichten zur Gestellung, Vorführung, Lagerung oder Behandlung von Waren, zur Abgabe von Erklärungen oder Anzeigen, zur Aufnahme von Niederschriften sowie zur Ausfüllung oder Vorlage von Zolldokumenten oder zur Aufnahme von Vermerken in solchen Dokumenten betreffen.</w:t>
      </w:r>
    </w:p>
    <w:p>
      <w:r>
        <w:rPr>
          <w:color w:val="555555"/>
          <w:sz w:val="17"/>
        </w:rPr>
        <w:t xml:space="preserve">Zitiervorschlag: § 382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