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381 AO 1977 — Verbrauchsteuergefährdung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Ordnungswidrig handelt, wer vorsätzlich oder leichtfertig Vorschriften der Verbrauchsteuergesetze oder der dazu erlassenen Rechtsverordnungen</w:t>
      </w:r>
    </w:p>
    <w:p>
      <w:pPr>
        <w:ind w:left="420"/>
      </w:pPr>
      <w:r>
        <w:t xml:space="preserve">1. über die zur Vorbereitung, Sicherung oder Nachprüfung der Besteuerung auferlegten Pflichten,</w:t>
      </w:r>
    </w:p>
    <w:p>
      <w:pPr>
        <w:ind w:left="420"/>
      </w:pPr>
      <w:r>
        <w:t xml:space="preserve">2. über Verpackung und Kennzeichnung verbrauchsteuerpflichtiger Erzeugnisse oder Waren, die solche Erzeugnisse enthalten, oder über Verkehrs- oder Verwendungsbeschränkungen für solche Erzeugnisse oder Waren oder</w:t>
      </w:r>
    </w:p>
    <w:p>
      <w:pPr>
        <w:ind w:left="420"/>
      </w:pPr>
      <w:r>
        <w:t xml:space="preserve">3. über den Verbrauch unversteuerter Waren in den Freihäfen</w:t>
      </w:r>
    </w:p>
    <w:p>
      <w:r>
        <w:t xml:space="preserve">zuwiderhandelt, soweit die Verbrauchsteuergesetze oder die dazu erlassenen Rechtsverordnungen für einen bestimmten Tatbestand auf diese Bußgeldvorschrift verweisen.</w:t>
      </w:r>
    </w:p>
    <w:p>
      <w:r>
        <w:t xml:space="preserve">(2) Die Ordnungswidrigkeit kann mit einer Geldbuße bis zu fünftausend Euro geahndet werden, wenn die Handlung nicht nach § 378 geahndet werden kann.</w:t>
      </w:r>
    </w:p>
    <w:p>
      <w:r>
        <w:rPr>
          <w:color w:val="555555"/>
          <w:sz w:val="17"/>
        </w:rPr>
        <w:t xml:space="preserve">Zitiervorschlag: § 381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