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378 AO 1977 — Leichtfertige Steuerverkürzung</w:t>
      </w:r>
    </w:p>
    <w:p>
      <w:r>
        <w:rPr>
          <w:color w:val="555555"/>
          <w:sz w:val="18"/>
        </w:rPr>
        <w:t xml:space="preserve">Abgabenordnung</w:t>
      </w:r>
    </w:p>
    <w:p>
      <w:r>
        <w:rPr>
          <w:color w:val="555555"/>
          <w:sz w:val="18"/>
        </w:rPr>
        <w:t xml:space="preserve">Stand: 13.04.2025 (konsolidierte Textfassung, kein amtliches Inkrafttretensdatum)</w:t>
      </w:r>
    </w:p>
    <w:p>
      <w:r>
        <w:t xml:space="preserve">(1) Ordnungswidrig handelt, wer als Steuerpflichtiger oder bei Wahrnehmung der Angelegenheiten eines Steuerpflichtigen eine der in § 370 Absatz 1 bezeichneten Taten leichtfertig begeht. § 370 Absatz 4 bis 7 gilt entsprechend.</w:t>
      </w:r>
    </w:p>
    <w:p>
      <w:r>
        <w:t xml:space="preserve">(2) Die Ordnungswidrigkeit kann mit einer Geldbuße bis zu fünfzigtausend Euro geahndet werden.</w:t>
      </w:r>
    </w:p>
    <w:p>
      <w:r>
        <w:t xml:space="preserve">(3) Eine Geldbuße wird nicht festgesetzt, soweit der Täter gegenüber der Finanzbehörde die unrichtigen Angaben berichtigt, die unvollständigen Angaben ergänzt oder die unterlassenen Angaben nachholt, bevor ihm oder seinem Vertreter die Einleitung eines Straf- oder Bußgeldverfahrens wegen der Tat bekannt gegeben worden ist. Sind Steuerverkürzungen bereits eingetreten oder Steuervorteile erlangt, so wird eine Geldbuße nicht festgesetzt, wenn der Täter die aus der Tat zu seinen Gunsten verkürzten Steuern innerhalb der ihm bestimmten angemessenen Frist entrichtet. § 371 Absatz 4 gilt entsprechend.</w:t>
      </w:r>
    </w:p>
    <w:p>
      <w:r>
        <w:rPr>
          <w:color w:val="555555"/>
          <w:sz w:val="17"/>
        </w:rPr>
        <w:t xml:space="preserve">Zitiervorschlag: § 378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https://recht.nulegal.eu/gesetze/AO%201977/378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