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377 AO 1977 — Steuerordnungswidrigkeiten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Steuerordnungswidrigkeiten (Zollordnungswidrigkeiten) sind Zuwiderhandlungen, die nach diesem Gesetz oder den Steuergesetzen mit Geldbuße geahndet werden können.</w:t>
      </w:r>
    </w:p>
    <w:p>
      <w:r>
        <w:t xml:space="preserve">(2) Für Steuerordnungswidrigkeiten gelten die Vorschriften des Ersten Teils des Gesetzes über Ordnungswidrigkeiten, soweit die Bußgeldvorschriften dieses Gesetzes oder der Steuergesetze nichts anderes bestimmen.</w:t>
      </w:r>
    </w:p>
    <w:p>
      <w:r>
        <w:rPr>
          <w:color w:val="555555"/>
          <w:sz w:val="17"/>
        </w:rPr>
        <w:t xml:space="preserve">Zitiervorschlag: § 377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