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376 AO 1977 — Verfolgungsverjährung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In den in § 370 Absatz 3 Satz 2 Nummer 1 bis 6 genannten Fällen besonders schwerer Steuerhinterziehung beträgt die Verjährungsfrist 15 Jahre; § 78b Absatz 4 des Strafgesetzbuches gilt entsprechend.</w:t>
      </w:r>
    </w:p>
    <w:p>
      <w:r>
        <w:t xml:space="preserve">(2) Die Verjährung der Verfolgung einer Steuerstraftat wird auch dadurch unterbrochen, dass dem Beschuldigten die Einleitung des Bußgeldverfahrens bekannt gegeben oder diese Bekanntgabe angeordnet wird.</w:t>
      </w:r>
    </w:p>
    <w:p>
      <w:r>
        <w:t xml:space="preserve">(3) Abweichend von § 78c Absatz 3 Satz 2 des Strafgesetzbuches verjährt in den in § 370 Absatz 3 Satz 2 Nummer 1 bis 6 genannten Fällen besonders schwerer Steuerhinterziehung die Verfolgung spätestens, wenn seit dem in § 78a des Strafgesetzbuches bezeichneten Zeitpunkt das Zweieinhalbfache der gesetzlichen Verjährungsfrist verstrichen ist.</w:t>
      </w:r>
    </w:p>
    <w:p>
      <w:r>
        <w:rPr>
          <w:color w:val="555555"/>
          <w:sz w:val="17"/>
        </w:rPr>
        <w:t xml:space="preserve">Zitiervorschlag: § 376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