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374 AO 1977 — Steuerhehlerei</w:t>
      </w:r>
    </w:p>
    <w:p>
      <w:r>
        <w:rPr>
          <w:color w:val="555555"/>
          <w:sz w:val="18"/>
        </w:rPr>
        <w:t xml:space="preserve">Abgabenordnung</w:t>
      </w:r>
    </w:p>
    <w:p>
      <w:r>
        <w:rPr>
          <w:color w:val="555555"/>
          <w:sz w:val="18"/>
        </w:rPr>
        <w:t xml:space="preserve">Stand: 13.04.2025 (konsolidierte Textfassung, kein amtliches Inkrafttretensdatum)</w:t>
      </w:r>
    </w:p>
    <w:p>
      <w:r>
        <w:t xml:space="preserve">(1) Wer Erzeugnisse oder Waren, hinsichtlich deren Verbrauchsteuern oder Einfuhr- und Ausfuhrabgaben nach Artikel 5 Nummer 20 und 21 des Zollkodex der Union hinterzogen oder Bannbruch nach § 372 Absatz 2, § 373 begangen worden ist, ankauft oder sonst sich oder einem Dritten verschafft, sie absetzt oder abzusetzen hilft, um sich oder einen Dritten zu bereichern, wird mit Freiheitsstrafe bis zu fünf Jahren oder mit Geldstrafe bestraft.</w:t>
      </w:r>
    </w:p>
    <w:p>
      <w:r>
        <w:t xml:space="preserve">(2) Handelt der Täter gewerbsmäßig oder als Mitglied einer Bande, die sich zur fortgesetzten Begehung von Straftaten nach Absatz 1 verbunden hat, so ist die Strafe Freiheitsstrafe von sechs Monaten bis zu zehn Jahren. In minder schweren Fällen ist die Strafe Freiheitsstrafe bis zu fünf Jahren oder Geldstrafe.</w:t>
      </w:r>
    </w:p>
    <w:p>
      <w:r>
        <w:t xml:space="preserve">(3) Der Versuch ist strafbar.</w:t>
      </w:r>
    </w:p>
    <w:p>
      <w:r>
        <w:t xml:space="preserve">(4) § 370 Absatz 6 und 7 gilt entsprechend.</w:t>
      </w:r>
    </w:p>
    <w:p>
      <w:r>
        <w:rPr>
          <w:color w:val="555555"/>
          <w:sz w:val="17"/>
        </w:rPr>
        <w:t xml:space="preserve">Zitiervorschlag: § 374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https://recht.nulegal.eu/gesetze/AO%201977/374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374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